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4F76" w14:textId="77777777" w:rsidR="00D02B9A" w:rsidRDefault="00D02B9A" w:rsidP="00E430AF">
      <w:pPr>
        <w:ind w:left="426" w:right="-17"/>
        <w:jc w:val="center"/>
        <w:rPr>
          <w:rFonts w:ascii="Arial" w:hAnsi="Arial" w:cs="Arial"/>
          <w:b/>
          <w:sz w:val="28"/>
          <w:szCs w:val="28"/>
        </w:rPr>
      </w:pPr>
    </w:p>
    <w:p w14:paraId="351FEED5" w14:textId="4473A951" w:rsidR="00343160" w:rsidRPr="009769F6" w:rsidRDefault="00075772" w:rsidP="00E430AF">
      <w:pPr>
        <w:ind w:left="426" w:right="-17"/>
        <w:jc w:val="center"/>
        <w:rPr>
          <w:rFonts w:ascii="Arial" w:hAnsi="Arial" w:cs="Arial"/>
          <w:b/>
          <w:sz w:val="28"/>
          <w:szCs w:val="28"/>
        </w:rPr>
      </w:pPr>
      <w:r w:rsidRPr="009769F6">
        <w:rPr>
          <w:rFonts w:ascii="Arial" w:hAnsi="Arial" w:cs="Arial"/>
          <w:b/>
          <w:sz w:val="28"/>
          <w:szCs w:val="28"/>
        </w:rPr>
        <w:t>ANEXO V</w:t>
      </w:r>
      <w:r w:rsidR="00A66364" w:rsidRPr="009769F6">
        <w:rPr>
          <w:rFonts w:ascii="Arial" w:hAnsi="Arial" w:cs="Arial"/>
          <w:b/>
          <w:sz w:val="28"/>
          <w:szCs w:val="28"/>
        </w:rPr>
        <w:t>I</w:t>
      </w:r>
    </w:p>
    <w:p w14:paraId="251A403D" w14:textId="77777777" w:rsidR="00343160" w:rsidRPr="00B47146" w:rsidRDefault="00343160" w:rsidP="00E430AF">
      <w:pPr>
        <w:ind w:left="426" w:right="-17"/>
        <w:jc w:val="center"/>
        <w:rPr>
          <w:rFonts w:ascii="Arial" w:hAnsi="Arial" w:cs="Arial"/>
          <w:b/>
        </w:rPr>
      </w:pPr>
    </w:p>
    <w:p w14:paraId="7B1F3C59" w14:textId="47F5CABF" w:rsidR="00343160" w:rsidRPr="00B47146" w:rsidRDefault="00075772" w:rsidP="00E430AF">
      <w:pPr>
        <w:ind w:left="426" w:right="-17"/>
        <w:jc w:val="center"/>
        <w:rPr>
          <w:rFonts w:ascii="Arial" w:hAnsi="Arial" w:cs="Arial"/>
          <w:b/>
        </w:rPr>
      </w:pPr>
      <w:r w:rsidRPr="00B47146">
        <w:rPr>
          <w:rFonts w:ascii="Arial" w:hAnsi="Arial" w:cs="Arial"/>
          <w:b/>
        </w:rPr>
        <w:t>MINUTA DE TERMO DE CONTRATO</w:t>
      </w:r>
      <w:r w:rsidR="00B47146" w:rsidRPr="00B47146">
        <w:rPr>
          <w:rFonts w:ascii="Arial" w:hAnsi="Arial" w:cs="Arial"/>
          <w:b/>
        </w:rPr>
        <w:t xml:space="preserve"> DE</w:t>
      </w:r>
      <w:r w:rsidRPr="00B47146">
        <w:rPr>
          <w:rFonts w:ascii="Arial" w:hAnsi="Arial" w:cs="Arial"/>
          <w:b/>
        </w:rPr>
        <w:t xml:space="preserve"> </w:t>
      </w:r>
      <w:r w:rsidR="00B47146" w:rsidRPr="00B47146">
        <w:rPr>
          <w:rFonts w:ascii="Arial" w:hAnsi="Arial" w:cs="Arial"/>
          <w:b/>
        </w:rPr>
        <w:t xml:space="preserve">PRESTAÇÃO DE </w:t>
      </w:r>
      <w:r w:rsidR="00B47146" w:rsidRPr="00B47146">
        <w:rPr>
          <w:rFonts w:ascii="Arial" w:hAnsi="Arial" w:cs="Arial"/>
          <w:b/>
          <w:iCs/>
          <w:color w:val="000000"/>
        </w:rPr>
        <w:t>SERVIÇO</w:t>
      </w:r>
    </w:p>
    <w:p w14:paraId="785B1A84" w14:textId="77777777" w:rsidR="00343160" w:rsidRPr="00B47146" w:rsidRDefault="00343160" w:rsidP="00E430AF">
      <w:pPr>
        <w:pStyle w:val="Ttulo2"/>
        <w:spacing w:before="1"/>
        <w:ind w:left="1276" w:right="1472" w:hanging="992"/>
        <w:jc w:val="both"/>
        <w:rPr>
          <w:rFonts w:ascii="Arial" w:hAnsi="Arial" w:cs="Arial"/>
          <w:sz w:val="22"/>
          <w:szCs w:val="22"/>
          <w:u w:val="none"/>
        </w:rPr>
      </w:pPr>
    </w:p>
    <w:p w14:paraId="5A152147" w14:textId="77777777" w:rsidR="00343160" w:rsidRPr="00B47146" w:rsidRDefault="00343160" w:rsidP="00E430AF">
      <w:pPr>
        <w:pStyle w:val="Corpodetexto"/>
        <w:spacing w:before="10"/>
        <w:jc w:val="both"/>
        <w:rPr>
          <w:rFonts w:ascii="Arial" w:hAnsi="Arial" w:cs="Arial"/>
          <w:b/>
          <w:sz w:val="22"/>
          <w:szCs w:val="22"/>
        </w:rPr>
      </w:pPr>
    </w:p>
    <w:p w14:paraId="77AA8D36" w14:textId="36E15F99" w:rsidR="00343160" w:rsidRPr="00B47146" w:rsidRDefault="00075772" w:rsidP="00E430AF">
      <w:pPr>
        <w:spacing w:line="276" w:lineRule="auto"/>
        <w:ind w:left="5103" w:right="-17"/>
        <w:jc w:val="both"/>
        <w:rPr>
          <w:rFonts w:ascii="Arial" w:hAnsi="Arial" w:cs="Arial"/>
          <w:b/>
        </w:rPr>
      </w:pPr>
      <w:r w:rsidRPr="00B47146">
        <w:rPr>
          <w:rFonts w:ascii="Arial" w:hAnsi="Arial" w:cs="Arial"/>
          <w:b/>
        </w:rPr>
        <w:t xml:space="preserve">TERMO DE CONTRATO DE </w:t>
      </w:r>
      <w:r w:rsidR="00E430AF" w:rsidRPr="00B47146">
        <w:rPr>
          <w:rFonts w:ascii="Arial" w:hAnsi="Arial" w:cs="Arial"/>
          <w:b/>
        </w:rPr>
        <w:t>PRESTAÇÃO DE SERVIÇO</w:t>
      </w:r>
      <w:r w:rsidRPr="00B47146">
        <w:rPr>
          <w:rFonts w:ascii="Arial" w:hAnsi="Arial" w:cs="Arial"/>
          <w:b/>
        </w:rPr>
        <w:t xml:space="preserve"> Nº ......../...., QUE FAZEM ENTRE SI O MUNICÍPIO DE NOVA FRIBURGO E A EMPRESA .................................................... </w:t>
      </w:r>
    </w:p>
    <w:p w14:paraId="64F84A73" w14:textId="58B08331" w:rsidR="00343160" w:rsidRPr="006D1A90" w:rsidRDefault="00075772" w:rsidP="00E430AF">
      <w:pPr>
        <w:pStyle w:val="NormalWeb"/>
        <w:spacing w:line="276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JOHNNY MAYCON CORDEIRO RIBEIRO, inscrito no CPF sob o nº ........................................., </w:t>
      </w:r>
      <w:r w:rsidR="00E430AF"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nomeado(a) pela  Portaria nº ......, de ..... de ..................... de 20..., publicada no DOENF de..... de ............... de ..........., portador da matrícula funcional nº ....................................,</w:t>
      </w: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doravante denominado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Processo Administrativo nº </w:t>
      </w:r>
      <w:r w:rsidR="00B47146"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8.765/2023</w:t>
      </w: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e em observância às disposições da Lei nº 8.666, de 21 de junho de 1993</w:t>
      </w:r>
      <w:r w:rsidR="00B47146"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,</w:t>
      </w: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da Lei nº 10.520  de 17 de julho de 2002, </w:t>
      </w:r>
      <w:r w:rsidR="00B47146"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do Decreto nº 7.892, de 23 de janeiro de 2013</w:t>
      </w: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, </w:t>
      </w:r>
      <w:r w:rsidR="00B47146"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da Instrução Normativa SEGES/MP nº 5, de 26 de maio de 2017</w:t>
      </w: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, resolvem celebrar o presente Termo de Contrato, decorrente do </w:t>
      </w:r>
      <w:r w:rsidRPr="006D1A90">
        <w:rPr>
          <w:rFonts w:ascii="Arial" w:eastAsia="Tahoma" w:hAnsi="Arial" w:cs="Arial"/>
          <w:b/>
          <w:bCs/>
          <w:w w:val="115"/>
          <w:sz w:val="22"/>
          <w:szCs w:val="22"/>
          <w:lang w:val="pt-PT" w:eastAsia="pt-PT" w:bidi="pt-PT"/>
        </w:rPr>
        <w:t xml:space="preserve">Pregão Eletrônico por Sistema de Registro de Preços nº </w:t>
      </w:r>
      <w:r w:rsidR="00B47146" w:rsidRPr="006D1A90">
        <w:rPr>
          <w:rFonts w:ascii="Arial" w:eastAsia="Tahoma" w:hAnsi="Arial" w:cs="Arial"/>
          <w:b/>
          <w:bCs/>
          <w:w w:val="115"/>
          <w:sz w:val="22"/>
          <w:szCs w:val="22"/>
          <w:lang w:val="pt-PT" w:eastAsia="pt-PT" w:bidi="pt-PT"/>
        </w:rPr>
        <w:t>183/2023</w:t>
      </w:r>
      <w:r w:rsidRPr="006D1A90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, mediante as cláusulas e condições a seguir enunciadas</w:t>
      </w:r>
      <w:r w:rsidRPr="006D1A90">
        <w:rPr>
          <w:rFonts w:ascii="Arial" w:hAnsi="Arial" w:cs="Arial"/>
          <w:sz w:val="22"/>
          <w:szCs w:val="22"/>
        </w:rPr>
        <w:t>.</w:t>
      </w:r>
    </w:p>
    <w:p w14:paraId="42951704" w14:textId="09719ADD" w:rsidR="006D1A90" w:rsidRPr="00517B3A" w:rsidRDefault="00075772" w:rsidP="00517B3A">
      <w:pPr>
        <w:pStyle w:val="Nivel01"/>
        <w:numPr>
          <w:ilvl w:val="0"/>
          <w:numId w:val="1"/>
        </w:numPr>
        <w:spacing w:line="276" w:lineRule="auto"/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517B3A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CLÁUSULA PRIMEIRA – OBJETO</w:t>
      </w:r>
    </w:p>
    <w:p w14:paraId="60F2948A" w14:textId="4AFEE937" w:rsidR="00AE4185" w:rsidRPr="00565669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65669">
        <w:rPr>
          <w:rFonts w:ascii="Arial" w:eastAsia="Tahoma" w:hAnsi="Arial" w:cs="Arial"/>
          <w:w w:val="115"/>
          <w:lang w:eastAsia="pt-PT" w:bidi="pt-PT"/>
        </w:rPr>
        <w:t>O objeto do presente instrumento é a contratação</w:t>
      </w:r>
      <w:r w:rsidR="00B66EEA" w:rsidRPr="00565669">
        <w:rPr>
          <w:rFonts w:ascii="Arial" w:eastAsia="Tahoma" w:hAnsi="Arial" w:cs="Arial"/>
          <w:w w:val="115"/>
          <w:lang w:eastAsia="pt-PT" w:bidi="pt-PT"/>
        </w:rPr>
        <w:t xml:space="preserve"> de empresa especializada para o serviço de ALUGUEL DE VEÍCULOS UTILITÁRIOS, CAMINHÕES, MÁQUINAS E EQUIPAMENTOS, para atender as necessidades das Secretarias de Infraestrutura e Logística, Obras e Serviços públicos, bem como as Subprefeituras</w:t>
      </w:r>
      <w:r w:rsidR="00027837" w:rsidRPr="00565669">
        <w:rPr>
          <w:rFonts w:ascii="Arial" w:eastAsia="Tahoma" w:hAnsi="Arial" w:cs="Arial"/>
          <w:w w:val="115"/>
          <w:lang w:eastAsia="pt-PT" w:bidi="pt-PT"/>
        </w:rPr>
        <w:t xml:space="preserve">, </w:t>
      </w:r>
      <w:r w:rsidRPr="00565669">
        <w:rPr>
          <w:rFonts w:ascii="Arial" w:eastAsia="Tahoma" w:hAnsi="Arial" w:cs="Arial"/>
          <w:w w:val="115"/>
          <w:lang w:eastAsia="pt-PT" w:bidi="pt-PT"/>
        </w:rPr>
        <w:t>nas condições estabelecidas no Termo de Referência, anexo do Edital.</w:t>
      </w:r>
    </w:p>
    <w:p w14:paraId="07771240" w14:textId="03302AB8" w:rsidR="00343160" w:rsidRPr="00565669" w:rsidRDefault="00075772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65669">
        <w:rPr>
          <w:rFonts w:ascii="Arial" w:eastAsia="Tahoma" w:hAnsi="Arial" w:cs="Arial"/>
          <w:w w:val="115"/>
          <w:lang w:eastAsia="pt-PT" w:bidi="pt-PT"/>
        </w:rPr>
        <w:t>Este Termo de Contrato vincula-se ao Edital do Pregão, identificado no preâmbulo e à proposta vencedora, independentemente de transcrição.</w:t>
      </w:r>
    </w:p>
    <w:p w14:paraId="7E03E62E" w14:textId="73A635D3" w:rsidR="00343160" w:rsidRPr="00565669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65669">
        <w:rPr>
          <w:rFonts w:ascii="Arial" w:eastAsia="Tahoma" w:hAnsi="Arial" w:cs="Arial"/>
          <w:w w:val="115"/>
          <w:lang w:eastAsia="pt-PT" w:bidi="pt-PT"/>
        </w:rPr>
        <w:t>Objeto da contratação</w:t>
      </w:r>
      <w:r w:rsidR="00075772" w:rsidRPr="00565669">
        <w:rPr>
          <w:rFonts w:ascii="Arial" w:eastAsia="Tahoma" w:hAnsi="Arial" w:cs="Arial"/>
          <w:w w:val="115"/>
          <w:lang w:eastAsia="pt-PT" w:bidi="pt-PT"/>
        </w:rPr>
        <w:t>:</w:t>
      </w:r>
    </w:p>
    <w:p w14:paraId="5E3AB322" w14:textId="12E445A2" w:rsidR="00B66EEA" w:rsidRDefault="00B66EEA" w:rsidP="00E430AF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5A500AA7" w14:textId="4BB5885A" w:rsidR="00202023" w:rsidRDefault="00202023" w:rsidP="00E430AF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0E3CBCD0" w14:textId="77777777" w:rsidR="00202023" w:rsidRPr="00B47146" w:rsidRDefault="00202023" w:rsidP="00E430AF">
      <w:pPr>
        <w:pStyle w:val="PargrafodaLista"/>
        <w:ind w:left="0"/>
        <w:jc w:val="both"/>
        <w:rPr>
          <w:rFonts w:ascii="Arial" w:hAnsi="Arial" w:cs="Arial"/>
          <w:b/>
        </w:rPr>
      </w:pPr>
    </w:p>
    <w:tbl>
      <w:tblPr>
        <w:tblpPr w:leftFromText="180" w:rightFromText="180" w:vertAnchor="text" w:horzAnchor="page" w:tblpX="1246" w:tblpY="399"/>
        <w:tblOverlap w:val="never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1088"/>
        <w:gridCol w:w="5060"/>
        <w:gridCol w:w="1360"/>
        <w:gridCol w:w="1144"/>
      </w:tblGrid>
      <w:tr w:rsidR="0080119F" w14:paraId="36B844B0" w14:textId="77777777" w:rsidTr="006A2109">
        <w:trPr>
          <w:trHeight w:val="47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BA02E41" w14:textId="77777777" w:rsidR="0080119F" w:rsidRDefault="0080119F" w:rsidP="006A210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1B1B25E5" w14:textId="77777777" w:rsidR="0080119F" w:rsidRDefault="0080119F" w:rsidP="006A2109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B897118" w14:textId="77777777" w:rsidR="0080119F" w:rsidRDefault="0080119F" w:rsidP="006A210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CATSER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2C49AAE" w14:textId="77777777" w:rsidR="0080119F" w:rsidRDefault="0080119F" w:rsidP="006A2109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B6EF3E2" w14:textId="77777777" w:rsidR="0080119F" w:rsidRDefault="0080119F" w:rsidP="006A2109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UND/HR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A8EE371" w14:textId="77777777" w:rsidR="0080119F" w:rsidRDefault="0080119F" w:rsidP="006A2109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HORAS </w:t>
            </w:r>
          </w:p>
        </w:tc>
      </w:tr>
      <w:tr w:rsidR="0080119F" w14:paraId="6CB0022F" w14:textId="77777777" w:rsidTr="006A2109">
        <w:trPr>
          <w:trHeight w:val="24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62FD739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083E5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A809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0B74" w14:textId="77777777" w:rsidR="0080119F" w:rsidRDefault="0080119F" w:rsidP="006A2109">
            <w:pPr>
              <w:pStyle w:val="Corpodetexto"/>
              <w:ind w:right="119"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basculante, no toco, capacidade de 7,5T, inclusive com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34518" w14:textId="77777777" w:rsidR="0080119F" w:rsidRDefault="0080119F" w:rsidP="006A21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E8F65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12.000</w:t>
            </w:r>
          </w:p>
        </w:tc>
      </w:tr>
      <w:tr w:rsidR="0080119F" w14:paraId="54388A28" w14:textId="77777777" w:rsidTr="006A2109">
        <w:trPr>
          <w:trHeight w:val="240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0C5E0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0582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40B9D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797F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basculante, no toco, capacidade de 7,5T, inclusive com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7F9E4" w14:textId="77777777" w:rsidR="0080119F" w:rsidRDefault="0080119F" w:rsidP="006A210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A8A4D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3.600</w:t>
            </w:r>
          </w:p>
        </w:tc>
      </w:tr>
      <w:tr w:rsidR="0080119F" w14:paraId="5BB1EEE6" w14:textId="77777777" w:rsidTr="006A2109">
        <w:trPr>
          <w:trHeight w:val="24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1906BC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42AD9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8C846C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2C108EA" w14:textId="77777777" w:rsidR="0080119F" w:rsidRDefault="0080119F" w:rsidP="006A2109">
            <w:pPr>
              <w:pStyle w:val="Corpodetexto"/>
              <w:ind w:right="119"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Basculante do tipo médio-pesado, trucado, capacidade 12,00m³,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7FBF38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9D78262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4.000</w:t>
            </w:r>
          </w:p>
        </w:tc>
      </w:tr>
      <w:tr w:rsidR="0080119F" w14:paraId="39079BB2" w14:textId="77777777" w:rsidTr="006A2109">
        <w:trPr>
          <w:trHeight w:val="240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26E3B7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FACE7A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D006D9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9A3754B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Basculante do tipo médio-pesado, trucado, capacidade 12,00m³,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D79C81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9BEE09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1.200</w:t>
            </w:r>
          </w:p>
        </w:tc>
      </w:tr>
      <w:tr w:rsidR="0080119F" w14:paraId="000F5615" w14:textId="77777777" w:rsidTr="006A2109">
        <w:trPr>
          <w:trHeight w:val="240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ECDFFD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9F56E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95500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CB3F" w14:textId="77777777" w:rsidR="0080119F" w:rsidRDefault="0080119F" w:rsidP="006A2109">
            <w:pPr>
              <w:pStyle w:val="Corpodetexto"/>
              <w:ind w:right="119"/>
              <w:jc w:val="both"/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com carroceria fixa, no toco, capacidade de 7.5T, inclusive com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81F75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B90D1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1.000</w:t>
            </w:r>
          </w:p>
        </w:tc>
      </w:tr>
      <w:tr w:rsidR="0080119F" w14:paraId="22F32953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600EC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E5EC3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63E13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83393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com carroceria fixa, no toco, capacidade de 7.5T, inclusive com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F4B9E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4D599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300</w:t>
            </w:r>
          </w:p>
        </w:tc>
      </w:tr>
      <w:tr w:rsidR="0080119F" w14:paraId="4817ED58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85075A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77FC5C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192826" w14:textId="77777777" w:rsidR="0080119F" w:rsidRDefault="0080119F" w:rsidP="006A2109">
            <w:pPr>
              <w:jc w:val="center"/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125DB4D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Carreta para transporte pesado, capacidade para carga util de 30T,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5AD3DF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7EBCA5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800</w:t>
            </w:r>
          </w:p>
        </w:tc>
      </w:tr>
      <w:tr w:rsidR="0080119F" w14:paraId="200983E5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F915EB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CAC71D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458F36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393BEC4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Carreta para transporte pesado, capacidade para carga util de 30T,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60A4F3A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8E3EBC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204</w:t>
            </w:r>
          </w:p>
        </w:tc>
      </w:tr>
      <w:tr w:rsidR="0080119F" w14:paraId="58BB2BBC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15BA9D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4EB61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6D9FB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41AF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Distribuidor (espargidor) de asfalto (BMB), motor diesel, potência de 92CV e capacidade aproximada do tanque de 10.000 litros, inclusive com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5A5B4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296AC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2.200</w:t>
            </w:r>
          </w:p>
        </w:tc>
      </w:tr>
      <w:tr w:rsidR="0080119F" w14:paraId="04EA9B76" w14:textId="77777777" w:rsidTr="006A2109">
        <w:trPr>
          <w:trHeight w:val="987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9B0AD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AD7A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BF84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0C83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Distribuidor (espargidor) de asfalto (BMB), motor diesel, potência de 92CV e capacidade aproximada do tanque de 10.000 litros, inclusive com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6D27C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B12B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660</w:t>
            </w:r>
          </w:p>
        </w:tc>
      </w:tr>
      <w:tr w:rsidR="0080119F" w14:paraId="6FF487E6" w14:textId="77777777" w:rsidTr="006A2109">
        <w:trPr>
          <w:trHeight w:val="1207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5AB35E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9FEB26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0CEE03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A13E7CB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Escavadeira hidráulica, motor diesel com 111CV aproximadamente, capacidade de 0,78m³, profundidade de escavação máxima de 6,6m, com braços articulados, braço intermediário ajustável em 3 posições,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B03695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AB1D2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1.800</w:t>
            </w:r>
          </w:p>
        </w:tc>
      </w:tr>
      <w:tr w:rsidR="0080119F" w14:paraId="7AA103F3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0E6EC1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BBBA0AE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8100063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EBB33F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Escavadeira hidráulica, motor diesel com 111CV aproximadamente, capacidade de 0,78m³, profundidade de escavação máxima de 6,6m, com braços articulados, braço intermediário ajustável em 3 posições,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487D90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05B296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540</w:t>
            </w:r>
          </w:p>
        </w:tc>
      </w:tr>
      <w:tr w:rsidR="0080119F" w14:paraId="251F3185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216ADB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D047D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1FA57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A7A8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Escavadeira hidráulica de esteira braço alongado (modelo long reach), com peso operacional em torno de 23T, motor diesel </w:t>
            </w:r>
            <w:r>
              <w:rPr>
                <w:sz w:val="21"/>
                <w:szCs w:val="21"/>
              </w:rPr>
              <w:lastRenderedPageBreak/>
              <w:t>em torno de 160CV, caçamba com capacidade aproximada de 0,55m³, altura da escavação máxima aproximada de 15m e profundidade de escavação máxima aproximada de 12m,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5BFE2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F117F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1.800</w:t>
            </w:r>
          </w:p>
        </w:tc>
      </w:tr>
      <w:tr w:rsidR="0080119F" w14:paraId="2D55F377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82E0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890C3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43F5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F3E8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Escavadeira hidráulica de esteira braço alongado (modelo long reach), com peso operacional em torno de 23T, motor diesel em torno de 160CV, caçamba com capacidade aproximada de 0,55m³, altura da escavação máxima aproximada de 15m e profundidade de escavação máxima aproximada de 12m,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EE652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6A5DE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540</w:t>
            </w:r>
          </w:p>
        </w:tc>
      </w:tr>
      <w:tr w:rsidR="0080119F" w14:paraId="3B60646B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69F073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3A4BE9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37F0535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F79ABE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Motoniveladora, motor diesel de 125CV, inclusive operador e combustível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F858B9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7061AF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3.000</w:t>
            </w:r>
          </w:p>
        </w:tc>
      </w:tr>
      <w:tr w:rsidR="0080119F" w14:paraId="46908A39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BF941A5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45862E9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D743CE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513AC1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Motoniveladora, motor diesel de 125CV, inclusive operador e combustível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548074F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4D2BA7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900</w:t>
            </w:r>
          </w:p>
        </w:tc>
      </w:tr>
      <w:tr w:rsidR="0080119F" w14:paraId="3BE83905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37D68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CA4F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41623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20398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Retro-escavadeira/carregadeira, motor diesel em torno de 75cv, capacidade da caçamba de 0,76m³, profundidade de escavação máxima de 4,00m,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0D7FA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A721B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10.000</w:t>
            </w:r>
          </w:p>
        </w:tc>
      </w:tr>
      <w:tr w:rsidR="0080119F" w14:paraId="57AD91A6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4C08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B93A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szCs w:val="32"/>
              </w:rPr>
              <w:t>18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BDC9C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B0DF0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Retro-escavadeira/carregadeira, motor diesel em torno de 75cv, capacidade da caçamba de 0,76m³, profundidade de escavação máxima de 4,00m,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26BAE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9D498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3.000</w:t>
            </w:r>
          </w:p>
        </w:tc>
      </w:tr>
      <w:tr w:rsidR="0080119F" w14:paraId="1EC5456D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B9839E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FB16F8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AD0861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27345F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Rolo compactador tandem, de 6 a 9T, motor diesel de 55cv, inclusive com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11171F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B0EEC9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3.000</w:t>
            </w:r>
          </w:p>
        </w:tc>
      </w:tr>
      <w:tr w:rsidR="0080119F" w14:paraId="04A9882D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05271E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DBA5194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D841EA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6659778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Rolo compactador tandem, de 6 a 9T, motor diesel de 55cv, inclusive com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70B680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163986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900</w:t>
            </w:r>
          </w:p>
        </w:tc>
      </w:tr>
      <w:tr w:rsidR="0080119F" w14:paraId="1F771563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D9C630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52736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DFB30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3F98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Trator de esteiras com motor diesel em torno de 140cv, com lâmina de 2330kg,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69E48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17DB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1.500</w:t>
            </w:r>
          </w:p>
        </w:tc>
      </w:tr>
      <w:tr w:rsidR="0080119F" w14:paraId="56F20622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C2EDD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9B17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B426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D3C5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Trator de esteiras com motor diesel em torno de 140cv, com lâmina de 2330kg,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0EB9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9A740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450</w:t>
            </w:r>
          </w:p>
        </w:tc>
      </w:tr>
      <w:tr w:rsidR="0080119F" w14:paraId="0406A9D4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DE235EC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3B63F9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szCs w:val="32"/>
              </w:rPr>
              <w:t>23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376F4A4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93FF5D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Mini pá carregadeira, de rodas, carga operacional em torno de 629kg, altura de descarga aproximada de 2,40m,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B846B6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7D893C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8.000</w:t>
            </w:r>
          </w:p>
        </w:tc>
      </w:tr>
      <w:tr w:rsidR="0080119F" w14:paraId="3B2CF666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ADD434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DB28C7B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5C4305D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28025EB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Mini pá carregadeira, de rodas, carga operacional em torno de 629kg, altura de descarga aproximada de 2,40m, inclusive operador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3B82D0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162242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2.400</w:t>
            </w:r>
          </w:p>
        </w:tc>
      </w:tr>
      <w:tr w:rsidR="0080119F" w14:paraId="3B2D73DA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F57847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411BC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szCs w:val="32"/>
              </w:rPr>
              <w:t>25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403F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A0C2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Hidrojato conjugado com sucção através de vácuo, compressor acionado por tomada de </w:t>
            </w:r>
            <w:r>
              <w:rPr>
                <w:sz w:val="21"/>
                <w:szCs w:val="21"/>
              </w:rPr>
              <w:lastRenderedPageBreak/>
              <w:t>força tipo rotativo e com jogo mangueiras para captação de 6” e 8”, através de braço rotativo, tanque de armazenamento de 12.000l,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DED38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266C6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1.500</w:t>
            </w:r>
          </w:p>
        </w:tc>
      </w:tr>
      <w:tr w:rsidR="0080119F" w14:paraId="4CB15653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23554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4CE21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49012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D257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Hidrojato conjugado com sucção através de vácuo, compressor acionado por tomada de força tipo rotativo e com jogo mangueiras para captação de 6” e 8”, através de braço rotativo, tanque de armazenamento de 12.000l,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D183E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7C4AF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450</w:t>
            </w:r>
          </w:p>
        </w:tc>
      </w:tr>
      <w:tr w:rsidR="0080119F" w14:paraId="77179942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498598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96F116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szCs w:val="32"/>
              </w:rPr>
              <w:t>27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AB9CCE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0AB4D13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Pipa com: Barra de irrigação traseira; Mangueira auxiliar de limpeza; Rabo de pavão (aspersor traseiro - bico de pato); Aspersor de limpeza frontal; Bomba centrífuga multiplicada; Sistema de sucção inclusive motorista e combustível,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B8A6C2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4E24256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  <w:rPr>
                <w:color w:val="000000"/>
              </w:rPr>
            </w:pPr>
            <w:r>
              <w:t>2.200</w:t>
            </w:r>
          </w:p>
        </w:tc>
      </w:tr>
      <w:tr w:rsidR="0080119F" w14:paraId="13CC1F7F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F5F65C5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D02CE0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56864E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C6B64FB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Pipa com: Barra de irrigação traseira; Mangueira auxiliar de limpeza; Rabo de pavão (aspersor traseiro - bico de pato); Aspersor de limpeza frontal; Bomba centrífuga multiplicada; Sistema de sucção inclusive motorista e combustível, inclusive motorista e combustível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0DDAC2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8E1BC5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660</w:t>
            </w:r>
          </w:p>
        </w:tc>
      </w:tr>
      <w:tr w:rsidR="0080119F" w14:paraId="7ED2A83C" w14:textId="77777777" w:rsidTr="006A2109">
        <w:trPr>
          <w:trHeight w:val="249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8E11731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3744B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szCs w:val="32"/>
              </w:rPr>
              <w:t>29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10B48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9F2D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Comboio Melosa; capacidade de abastecimento de 5.000l de diesel; 5 und de compartimento pressurizado para óleo de motor e hidráulico de 200l cada; capacidade para água com alta pressão de 1.000l; 1 (um) compartimento pressurizado para graxa; compartimento papa óleo queimado de 250l; compartimento para ferramentas; tanque pressurizados para água ou aditivo de 250l, compressor de ar,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48E7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EB1AA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2.200</w:t>
            </w:r>
          </w:p>
        </w:tc>
      </w:tr>
      <w:tr w:rsidR="0080119F" w14:paraId="7D264E7B" w14:textId="77777777" w:rsidTr="006A2109">
        <w:trPr>
          <w:trHeight w:val="249"/>
        </w:trPr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8D120F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ACADA" w14:textId="77777777" w:rsidR="0080119F" w:rsidRDefault="0080119F" w:rsidP="006A2109">
            <w:pPr>
              <w:jc w:val="center"/>
              <w:rPr>
                <w:b/>
                <w:color w:val="000000"/>
              </w:rPr>
            </w:pPr>
            <w:r>
              <w:rPr>
                <w:b/>
                <w:bCs/>
                <w:szCs w:val="32"/>
              </w:rPr>
              <w:t>30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4DB59" w14:textId="77777777" w:rsidR="0080119F" w:rsidRDefault="0080119F" w:rsidP="006A210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25089</w:t>
            </w:r>
          </w:p>
        </w:tc>
        <w:tc>
          <w:tcPr>
            <w:tcW w:w="5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AA1E" w14:textId="77777777" w:rsidR="0080119F" w:rsidRDefault="0080119F" w:rsidP="006A2109">
            <w:pPr>
              <w:pStyle w:val="Corpodetexto"/>
              <w:ind w:right="119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Caminhão Comboio Melosa; capacidade de abastecimento de 5.000l de diesel; 5 und de compartimento pressurizado para óleo de motor e hidráulico de 200l cada; capacidade para água com alta pressão de 1.000l; 1 (um) compartimento pressurizado para graxa; compartimento papa óleo queimado de 250l; compartimento para ferramentas; tanque pressurizados para água ou aditivo de 250l, compressor de ar, inclusive motorista e combustível.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10FF" w14:textId="77777777" w:rsidR="0080119F" w:rsidRDefault="0080119F" w:rsidP="006A210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6"/>
                <w:szCs w:val="16"/>
              </w:rPr>
              <w:t>HORA IMPRODUTIVA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EE726" w14:textId="77777777" w:rsidR="0080119F" w:rsidRDefault="0080119F" w:rsidP="006A2109">
            <w:pPr>
              <w:pStyle w:val="Corpodetexto"/>
              <w:spacing w:line="312" w:lineRule="auto"/>
              <w:ind w:right="119"/>
              <w:jc w:val="center"/>
            </w:pPr>
            <w:r>
              <w:t>660</w:t>
            </w:r>
          </w:p>
        </w:tc>
      </w:tr>
      <w:tr w:rsidR="0080119F" w14:paraId="72DB47E1" w14:textId="77777777" w:rsidTr="006A2109">
        <w:trPr>
          <w:trHeight w:val="249"/>
        </w:trPr>
        <w:tc>
          <w:tcPr>
            <w:tcW w:w="756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9DAEEF" w14:textId="77777777" w:rsidR="0080119F" w:rsidRDefault="0080119F" w:rsidP="006A2109">
            <w:pPr>
              <w:pStyle w:val="Corpodetexto"/>
              <w:ind w:right="119"/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TOTAL REGISTRADO EM ATA</w:t>
            </w:r>
          </w:p>
        </w:tc>
        <w:tc>
          <w:tcPr>
            <w:tcW w:w="2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4CD02E" w14:textId="77777777" w:rsidR="0080119F" w:rsidRDefault="0080119F" w:rsidP="006A2109">
            <w:pPr>
              <w:pStyle w:val="Corpodetexto"/>
              <w:spacing w:line="312" w:lineRule="auto"/>
              <w:ind w:right="119"/>
            </w:pPr>
            <w:r>
              <w:t xml:space="preserve">R$ </w:t>
            </w:r>
          </w:p>
        </w:tc>
      </w:tr>
    </w:tbl>
    <w:p w14:paraId="29EBE77E" w14:textId="77777777" w:rsidR="00B66EEA" w:rsidRPr="00B47146" w:rsidRDefault="00B66EEA" w:rsidP="00E430AF">
      <w:pPr>
        <w:jc w:val="both"/>
        <w:rPr>
          <w:rFonts w:ascii="Arial" w:hAnsi="Arial" w:cs="Arial"/>
          <w:b/>
        </w:rPr>
      </w:pPr>
    </w:p>
    <w:p w14:paraId="1E3B0B11" w14:textId="77777777" w:rsidR="00343160" w:rsidRPr="00B47146" w:rsidRDefault="00075772" w:rsidP="00517B3A">
      <w:pPr>
        <w:pStyle w:val="Nivel01"/>
        <w:numPr>
          <w:ilvl w:val="0"/>
          <w:numId w:val="1"/>
        </w:numPr>
        <w:spacing w:line="276" w:lineRule="auto"/>
        <w:ind w:left="567" w:hanging="425"/>
        <w:rPr>
          <w:rFonts w:ascii="Arial" w:hAnsi="Arial" w:cs="Arial"/>
          <w:sz w:val="22"/>
          <w:szCs w:val="22"/>
        </w:rPr>
      </w:pPr>
      <w:r w:rsidRPr="00B47146">
        <w:rPr>
          <w:rFonts w:ascii="Arial" w:hAnsi="Arial" w:cs="Arial"/>
          <w:sz w:val="22"/>
          <w:szCs w:val="22"/>
        </w:rPr>
        <w:lastRenderedPageBreak/>
        <w:t>CLÁUSULA SEGUNDA – VIGÊNCIA</w:t>
      </w:r>
    </w:p>
    <w:p w14:paraId="45BCFB59" w14:textId="77777777" w:rsidR="00AE4185" w:rsidRPr="00517B3A" w:rsidRDefault="00075772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 xml:space="preserve">O prazo de vigência deste Termo de Contrato será de ...... (mês) meses , com início na data de ____/____/______ e encerramento em ____/____/______, </w:t>
      </w:r>
      <w:r w:rsidR="00AE4185" w:rsidRPr="00517B3A">
        <w:rPr>
          <w:rFonts w:ascii="Arial" w:eastAsia="Tahoma" w:hAnsi="Arial" w:cs="Arial"/>
          <w:w w:val="115"/>
          <w:lang w:eastAsia="pt-PT" w:bidi="pt-PT"/>
        </w:rPr>
        <w:t>podendo ser prorrogado por interesse das partes até o  limite de 60 (sessenta) meses, desde que haja autorização formal da autoridade competente e observados os seguintes requisitos:</w:t>
      </w:r>
    </w:p>
    <w:p w14:paraId="7E0368C2" w14:textId="77777777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Os serviços tenham sido prestados regularmente;</w:t>
      </w:r>
    </w:p>
    <w:p w14:paraId="63D6DC1A" w14:textId="77777777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Esteja formalmente demonstrado que a forma de prestação dos serviços tem natureza continuada;  </w:t>
      </w:r>
    </w:p>
    <w:p w14:paraId="44C6B493" w14:textId="77777777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Seja juntado relatório que discorra sobre a execução do contrato, com informações de que os serviços tenham sido prestados regularmente;  </w:t>
      </w:r>
    </w:p>
    <w:p w14:paraId="160A5128" w14:textId="77777777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Seja juntada justificativa e motivo, por escrito, de que a Administração mantém interesse na realização do serviço;  </w:t>
      </w:r>
    </w:p>
    <w:p w14:paraId="24D838A2" w14:textId="77777777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Seja comprovado que o valor do contrato permanece economicamente vantajoso para a Administração;  </w:t>
      </w:r>
    </w:p>
    <w:p w14:paraId="5BE5155D" w14:textId="77777777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 xml:space="preserve">Haja manifestação expressa da contratada informando o interesse na prorrogação; </w:t>
      </w:r>
    </w:p>
    <w:p w14:paraId="64718A0C" w14:textId="6ED5F67B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Seja comprovado que o contratado mantém as condições iniciais de habilitação</w:t>
      </w:r>
      <w:r w:rsidR="00517B3A">
        <w:rPr>
          <w:rFonts w:ascii="Arial" w:eastAsia="Tahoma" w:hAnsi="Arial" w:cs="Arial"/>
          <w:w w:val="115"/>
          <w:lang w:eastAsia="pt-PT" w:bidi="pt-PT"/>
        </w:rPr>
        <w:t>.</w:t>
      </w:r>
    </w:p>
    <w:p w14:paraId="3D2AEB54" w14:textId="625B524F" w:rsidR="00343160" w:rsidRPr="00B47146" w:rsidRDefault="00075772" w:rsidP="00517B3A">
      <w:pPr>
        <w:pStyle w:val="Nivel01"/>
        <w:numPr>
          <w:ilvl w:val="0"/>
          <w:numId w:val="1"/>
        </w:numPr>
        <w:tabs>
          <w:tab w:val="clear" w:pos="567"/>
          <w:tab w:val="left" w:pos="709"/>
        </w:tabs>
        <w:spacing w:line="276" w:lineRule="auto"/>
        <w:ind w:hanging="218"/>
        <w:rPr>
          <w:rFonts w:ascii="Arial" w:hAnsi="Arial" w:cs="Arial"/>
          <w:sz w:val="22"/>
          <w:szCs w:val="22"/>
        </w:rPr>
      </w:pPr>
      <w:r w:rsidRPr="00B47146">
        <w:rPr>
          <w:rFonts w:ascii="Arial" w:hAnsi="Arial" w:cs="Arial"/>
          <w:sz w:val="22"/>
          <w:szCs w:val="22"/>
        </w:rPr>
        <w:t>CLÁUSULA TERCEIRA – PREÇO</w:t>
      </w:r>
    </w:p>
    <w:p w14:paraId="3292D6EC" w14:textId="77777777" w:rsidR="00343160" w:rsidRPr="00517B3A" w:rsidRDefault="00075772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O valor do presente Termo de Contrato é de R$ ............ (...............).</w:t>
      </w:r>
    </w:p>
    <w:p w14:paraId="464BFAAB" w14:textId="1F6DA7F9" w:rsidR="00343160" w:rsidRPr="00517B3A" w:rsidRDefault="00075772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25D45A1B" w14:textId="3FD469B4" w:rsidR="00AE4185" w:rsidRPr="00517B3A" w:rsidRDefault="00AE418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 xml:space="preserve"> - O valor acima é meramente estimativo, de forma que os pagamentos devidos à CONTRATADA dependerão dos quantitativos de serviços efetivamente prestados.</w:t>
      </w:r>
    </w:p>
    <w:p w14:paraId="6BDC5147" w14:textId="77777777" w:rsidR="00343160" w:rsidRPr="00B47146" w:rsidRDefault="00075772" w:rsidP="00517B3A">
      <w:pPr>
        <w:pStyle w:val="Nivel01"/>
        <w:numPr>
          <w:ilvl w:val="0"/>
          <w:numId w:val="1"/>
        </w:numPr>
        <w:tabs>
          <w:tab w:val="clear" w:pos="567"/>
          <w:tab w:val="left" w:pos="142"/>
        </w:tabs>
        <w:spacing w:line="276" w:lineRule="auto"/>
        <w:ind w:hanging="218"/>
        <w:rPr>
          <w:rFonts w:ascii="Arial" w:hAnsi="Arial" w:cs="Arial"/>
          <w:sz w:val="22"/>
          <w:szCs w:val="22"/>
        </w:rPr>
      </w:pPr>
      <w:r w:rsidRPr="00B47146">
        <w:rPr>
          <w:rFonts w:ascii="Arial" w:hAnsi="Arial" w:cs="Arial"/>
          <w:sz w:val="22"/>
          <w:szCs w:val="22"/>
        </w:rPr>
        <w:t>CLÁUSULA QUARTA – DOTAÇÃO ORÇAMENTÁRIA</w:t>
      </w:r>
    </w:p>
    <w:p w14:paraId="41D86B87" w14:textId="6BC13E93" w:rsidR="00527595" w:rsidRPr="00517B3A" w:rsidRDefault="00527595" w:rsidP="00517B3A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>As despesas decorrentes desta contratação estão programadas em dotação orçamentária própria, prevista no orçamento da Prefeitura Municpal de Nova Friburgo, para o exercício de 2023, na classificação abaixo:</w:t>
      </w:r>
    </w:p>
    <w:tbl>
      <w:tblPr>
        <w:tblStyle w:val="Tabelacomgrade"/>
        <w:tblW w:w="4870" w:type="pct"/>
        <w:tblLook w:val="04A0" w:firstRow="1" w:lastRow="0" w:firstColumn="1" w:lastColumn="0" w:noHBand="0" w:noVBand="1"/>
      </w:tblPr>
      <w:tblGrid>
        <w:gridCol w:w="751"/>
        <w:gridCol w:w="2793"/>
        <w:gridCol w:w="5294"/>
      </w:tblGrid>
      <w:tr w:rsidR="00682D7A" w:rsidRPr="00B47146" w14:paraId="76F9A44E" w14:textId="77777777" w:rsidTr="00682D7A">
        <w:tc>
          <w:tcPr>
            <w:tcW w:w="425" w:type="pct"/>
            <w:tcBorders>
              <w:left w:val="nil"/>
              <w:right w:val="nil"/>
            </w:tcBorders>
            <w:vAlign w:val="center"/>
          </w:tcPr>
          <w:p w14:paraId="3D8FE27B" w14:textId="23BCB3F0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bookmarkStart w:id="0" w:name="_Hlk142992784"/>
            <w:r w:rsidRPr="00B47146">
              <w:rPr>
                <w:rFonts w:ascii="Arial" w:hAnsi="Arial" w:cs="Arial"/>
                <w:color w:val="000000" w:themeColor="text1"/>
              </w:rPr>
              <w:t>4.1.1</w:t>
            </w:r>
          </w:p>
        </w:tc>
        <w:tc>
          <w:tcPr>
            <w:tcW w:w="1580" w:type="pct"/>
            <w:tcBorders>
              <w:left w:val="nil"/>
              <w:right w:val="nil"/>
            </w:tcBorders>
            <w:vAlign w:val="center"/>
          </w:tcPr>
          <w:p w14:paraId="4520A175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47146">
              <w:rPr>
                <w:rFonts w:ascii="Arial" w:hAnsi="Arial" w:cs="Arial"/>
                <w:b/>
                <w:bCs/>
                <w:color w:val="000000" w:themeColor="text1"/>
              </w:rPr>
              <w:t>Elemento de Despesa:</w:t>
            </w:r>
          </w:p>
        </w:tc>
        <w:tc>
          <w:tcPr>
            <w:tcW w:w="2995" w:type="pct"/>
            <w:tcBorders>
              <w:left w:val="nil"/>
              <w:right w:val="nil"/>
            </w:tcBorders>
            <w:vAlign w:val="center"/>
          </w:tcPr>
          <w:p w14:paraId="0FDEF214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</w:rPr>
              <w:t>33.90.39.</w:t>
            </w: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t>15</w:t>
            </w:r>
            <w:r w:rsidRPr="00B47146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682D7A" w:rsidRPr="00B47146" w14:paraId="788289F2" w14:textId="77777777" w:rsidTr="00682D7A">
        <w:tc>
          <w:tcPr>
            <w:tcW w:w="425" w:type="pct"/>
            <w:tcBorders>
              <w:left w:val="nil"/>
              <w:right w:val="nil"/>
            </w:tcBorders>
            <w:vAlign w:val="center"/>
          </w:tcPr>
          <w:p w14:paraId="622149A2" w14:textId="248FF3B4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</w:rPr>
              <w:t>4.1.2</w:t>
            </w:r>
          </w:p>
        </w:tc>
        <w:tc>
          <w:tcPr>
            <w:tcW w:w="1580" w:type="pct"/>
            <w:tcBorders>
              <w:left w:val="nil"/>
              <w:right w:val="nil"/>
            </w:tcBorders>
            <w:vAlign w:val="center"/>
          </w:tcPr>
          <w:p w14:paraId="113A3FAA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47146">
              <w:rPr>
                <w:rFonts w:ascii="Arial" w:hAnsi="Arial" w:cs="Arial"/>
                <w:b/>
                <w:bCs/>
                <w:color w:val="000000" w:themeColor="text1"/>
              </w:rPr>
              <w:t>Fonte de Recurso:</w:t>
            </w:r>
          </w:p>
        </w:tc>
        <w:tc>
          <w:tcPr>
            <w:tcW w:w="2995" w:type="pct"/>
            <w:tcBorders>
              <w:left w:val="nil"/>
              <w:right w:val="nil"/>
            </w:tcBorders>
            <w:vAlign w:val="center"/>
          </w:tcPr>
          <w:p w14:paraId="02A919FA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</w:rPr>
              <w:t xml:space="preserve">150000000000 </w:t>
            </w:r>
          </w:p>
          <w:p w14:paraId="2C564EA8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</w:rPr>
              <w:t>170500000020</w:t>
            </w: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t xml:space="preserve"> </w:t>
            </w:r>
          </w:p>
          <w:p w14:paraId="06145DC7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t xml:space="preserve">150100000000 </w:t>
            </w:r>
          </w:p>
          <w:p w14:paraId="565E3E22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lastRenderedPageBreak/>
              <w:t>170400000017</w:t>
            </w:r>
          </w:p>
        </w:tc>
      </w:tr>
      <w:tr w:rsidR="00682D7A" w:rsidRPr="00B47146" w14:paraId="3DBD2283" w14:textId="77777777" w:rsidTr="00682D7A">
        <w:tc>
          <w:tcPr>
            <w:tcW w:w="425" w:type="pct"/>
            <w:tcBorders>
              <w:left w:val="nil"/>
              <w:right w:val="nil"/>
            </w:tcBorders>
            <w:vAlign w:val="center"/>
          </w:tcPr>
          <w:p w14:paraId="42F302D3" w14:textId="274F7D82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</w:rPr>
              <w:lastRenderedPageBreak/>
              <w:t>4.1.3</w:t>
            </w:r>
          </w:p>
        </w:tc>
        <w:tc>
          <w:tcPr>
            <w:tcW w:w="1580" w:type="pct"/>
            <w:tcBorders>
              <w:left w:val="nil"/>
              <w:right w:val="nil"/>
            </w:tcBorders>
            <w:vAlign w:val="center"/>
          </w:tcPr>
          <w:p w14:paraId="08ABFC7D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B47146">
              <w:rPr>
                <w:rFonts w:ascii="Arial" w:hAnsi="Arial" w:cs="Arial"/>
                <w:b/>
                <w:bCs/>
                <w:color w:val="000000" w:themeColor="text1"/>
              </w:rPr>
              <w:t>Programa de Trabalho:</w:t>
            </w:r>
          </w:p>
        </w:tc>
        <w:tc>
          <w:tcPr>
            <w:tcW w:w="2995" w:type="pct"/>
            <w:tcBorders>
              <w:left w:val="nil"/>
              <w:right w:val="nil"/>
            </w:tcBorders>
            <w:vAlign w:val="center"/>
          </w:tcPr>
          <w:p w14:paraId="4901F232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</w:rPr>
              <w:t>10001.0412200012.002</w:t>
            </w: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t xml:space="preserve"> - Sec. Obras</w:t>
            </w:r>
          </w:p>
          <w:p w14:paraId="6AB53723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t>09001.0412200012.002 - Sec. Serviços Públicos</w:t>
            </w:r>
          </w:p>
          <w:p w14:paraId="451124CA" w14:textId="77777777" w:rsidR="00682D7A" w:rsidRPr="00B47146" w:rsidRDefault="00682D7A" w:rsidP="00E430AF">
            <w:pPr>
              <w:pStyle w:val="PargrafodaLista"/>
              <w:overflowPunct w:val="0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B47146">
              <w:rPr>
                <w:rFonts w:ascii="Arial" w:hAnsi="Arial" w:cs="Arial"/>
                <w:color w:val="000000" w:themeColor="text1"/>
                <w:lang w:val="pt-BR"/>
              </w:rPr>
              <w:t>08003.0412200112.334 - Sec. Infraestrutura</w:t>
            </w:r>
          </w:p>
        </w:tc>
      </w:tr>
    </w:tbl>
    <w:bookmarkEnd w:id="0"/>
    <w:p w14:paraId="5AC6F755" w14:textId="7D14714B" w:rsidR="00527595" w:rsidRPr="00517B3A" w:rsidRDefault="00527595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517B3A">
        <w:rPr>
          <w:rFonts w:ascii="Arial" w:eastAsia="Tahoma" w:hAnsi="Arial" w:cs="Arial"/>
          <w:w w:val="115"/>
          <w:lang w:eastAsia="pt-PT" w:bidi="pt-PT"/>
        </w:rPr>
        <w:t xml:space="preserve">No(s) exercício(s) seguinte(s), as despesas correspondentes correrão à conta dos recursos próprios para atender às despesas da mesma natureza, cuja alocação será feita no início de cada exercício financeiro. </w:t>
      </w:r>
    </w:p>
    <w:p w14:paraId="35FFCDFC" w14:textId="6E88C5C7" w:rsidR="00343160" w:rsidRPr="00B47146" w:rsidRDefault="00075772" w:rsidP="004B07E1">
      <w:pPr>
        <w:pStyle w:val="Nivel01"/>
        <w:numPr>
          <w:ilvl w:val="0"/>
          <w:numId w:val="1"/>
        </w:numPr>
        <w:tabs>
          <w:tab w:val="clear" w:pos="567"/>
          <w:tab w:val="left" w:pos="142"/>
        </w:tabs>
        <w:spacing w:line="276" w:lineRule="auto"/>
        <w:ind w:hanging="218"/>
        <w:rPr>
          <w:rFonts w:ascii="Arial" w:hAnsi="Arial" w:cs="Arial"/>
          <w:sz w:val="22"/>
          <w:szCs w:val="22"/>
        </w:rPr>
      </w:pPr>
      <w:r w:rsidRPr="00B47146">
        <w:rPr>
          <w:rFonts w:ascii="Arial" w:hAnsi="Arial" w:cs="Arial"/>
          <w:sz w:val="22"/>
          <w:szCs w:val="22"/>
        </w:rPr>
        <w:t>CLÁUSULA QUINTA – PAGAMENTO</w:t>
      </w:r>
      <w:r w:rsidR="003640B1" w:rsidRPr="00B47146">
        <w:rPr>
          <w:rFonts w:ascii="Arial" w:hAnsi="Arial" w:cs="Arial"/>
          <w:sz w:val="22"/>
          <w:szCs w:val="22"/>
        </w:rPr>
        <w:t xml:space="preserve"> E </w:t>
      </w:r>
      <w:r w:rsidR="003640B1" w:rsidRPr="006D1A90">
        <w:rPr>
          <w:rFonts w:ascii="Arial" w:hAnsi="Arial" w:cs="Arial"/>
          <w:sz w:val="22"/>
          <w:szCs w:val="22"/>
        </w:rPr>
        <w:t>LIQUIDAÇÃO</w:t>
      </w:r>
    </w:p>
    <w:p w14:paraId="318E059A" w14:textId="479F304F" w:rsidR="00343160" w:rsidRPr="004B07E1" w:rsidRDefault="004043EC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pagamento será efetuado conforme estabelece o Decreto 258 de 27 de setembro de 2018, desde que as certidões listadas abaixo estejam dentro da validade:</w:t>
      </w:r>
    </w:p>
    <w:p w14:paraId="31131564" w14:textId="77777777" w:rsidR="004043EC" w:rsidRPr="004B07E1" w:rsidRDefault="004043EC" w:rsidP="004B07E1">
      <w:pPr>
        <w:widowControl/>
        <w:numPr>
          <w:ilvl w:val="2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Negativa de Débitos Trabalhistas;</w:t>
      </w:r>
    </w:p>
    <w:p w14:paraId="44287033" w14:textId="77777777" w:rsidR="004043EC" w:rsidRPr="004B07E1" w:rsidRDefault="004043EC" w:rsidP="004B07E1">
      <w:pPr>
        <w:widowControl/>
        <w:numPr>
          <w:ilvl w:val="2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Fazenda Federal – abrange as contribuições sociais;</w:t>
      </w:r>
    </w:p>
    <w:p w14:paraId="5E652A52" w14:textId="77777777" w:rsidR="004043EC" w:rsidRPr="004B07E1" w:rsidRDefault="004043EC" w:rsidP="004B07E1">
      <w:pPr>
        <w:widowControl/>
        <w:numPr>
          <w:ilvl w:val="2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FGTS;</w:t>
      </w:r>
    </w:p>
    <w:p w14:paraId="6A1564CD" w14:textId="77777777" w:rsidR="004043EC" w:rsidRPr="004B07E1" w:rsidRDefault="004043EC" w:rsidP="004B07E1">
      <w:pPr>
        <w:widowControl/>
        <w:numPr>
          <w:ilvl w:val="2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PGE – referente a Dívida Ativa Estadual;</w:t>
      </w:r>
    </w:p>
    <w:p w14:paraId="51C90495" w14:textId="77777777" w:rsidR="004043EC" w:rsidRPr="004B07E1" w:rsidRDefault="004043EC" w:rsidP="004B07E1">
      <w:pPr>
        <w:widowControl/>
        <w:numPr>
          <w:ilvl w:val="2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Municipal – referente ao ISS e Dívida Ativa;</w:t>
      </w:r>
    </w:p>
    <w:p w14:paraId="410D2542" w14:textId="4E976CDA" w:rsidR="004043EC" w:rsidRPr="004B07E1" w:rsidRDefault="004043EC" w:rsidP="004B07E1">
      <w:pPr>
        <w:widowControl/>
        <w:numPr>
          <w:ilvl w:val="2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Estadual CND – referente ao ICMS.</w:t>
      </w:r>
    </w:p>
    <w:p w14:paraId="224941C1" w14:textId="2237BF3D" w:rsidR="00343160" w:rsidRPr="004B07E1" w:rsidRDefault="00027837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 </w:t>
      </w:r>
      <w:r w:rsidR="00075772" w:rsidRPr="004B07E1">
        <w:rPr>
          <w:rFonts w:ascii="Arial" w:eastAsia="Tahoma" w:hAnsi="Arial" w:cs="Arial"/>
          <w:w w:val="115"/>
          <w:lang w:eastAsia="pt-PT" w:bidi="pt-PT"/>
        </w:rPr>
        <w:t>A Nota Fiscal deverá conter a identificação do Banco, número da Agência e da Conta Corrente, para que possibilite o CONTRATANTE efetuar o pagamento do valor devido;</w:t>
      </w:r>
    </w:p>
    <w:p w14:paraId="6F6C4DF8" w14:textId="278B2D89" w:rsidR="00343160" w:rsidRPr="004B07E1" w:rsidRDefault="00027837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 </w:t>
      </w:r>
      <w:r w:rsidR="00075772" w:rsidRPr="004B07E1">
        <w:rPr>
          <w:rFonts w:ascii="Arial" w:eastAsia="Tahoma" w:hAnsi="Arial" w:cs="Arial"/>
          <w:w w:val="115"/>
          <w:lang w:eastAsia="pt-PT" w:bidi="pt-PT"/>
        </w:rPr>
        <w:t>Na ocorrência de rejeição da(s) Nota(s) Fiscal (is), motivada por erro ou incorreções o prazo para pagamento estipulado acima passará a ser contado a partir da data de sua reapresentação.</w:t>
      </w:r>
    </w:p>
    <w:p w14:paraId="47B440AA" w14:textId="77777777" w:rsidR="00527595" w:rsidRPr="004B07E1" w:rsidRDefault="00527595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pagamento será efetuado pelo Município de Nova Friburgo me diante crédito em conta-corrente da contratada, até o 30º (trigésimo) dia corrido, a contar da atestação da Nota Fiscal apresentada pela contratada, desde que cumpridas as formalidades legais e contratuais previstas, e de acordo com o Decreto Municipal nº 258/18.</w:t>
      </w:r>
    </w:p>
    <w:p w14:paraId="6921A74D" w14:textId="4BC70C1D" w:rsidR="00527595" w:rsidRPr="004B07E1" w:rsidRDefault="00527595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Na hipótese de o documento de cobrança apresentar erros, fica suspenso o prazo para o pagamento respectivo, prosseguindo-se a contagem somente após a apresentação da nova documentação isenta de erros.</w:t>
      </w:r>
    </w:p>
    <w:p w14:paraId="1A4A8C6B" w14:textId="2E288323" w:rsidR="00F401B0" w:rsidRPr="004B07E1" w:rsidRDefault="003640B1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liquidação será realizada pela Secretaria Municipal de Finanças, Planejamento, Desenvolvimento Econômico e Gestão, a partir do cumprimento das obrigações elencadas neste Termo de Referência, em obediência ao Decreto nº 258 de 27 de setembro de 2018.</w:t>
      </w:r>
    </w:p>
    <w:p w14:paraId="11E4D88A" w14:textId="31215040" w:rsidR="00F401B0" w:rsidRPr="004B07E1" w:rsidRDefault="00075772" w:rsidP="004B07E1">
      <w:pPr>
        <w:pStyle w:val="Nivel01"/>
        <w:numPr>
          <w:ilvl w:val="0"/>
          <w:numId w:val="1"/>
        </w:numPr>
        <w:spacing w:line="276" w:lineRule="auto"/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lastRenderedPageBreak/>
        <w:t xml:space="preserve">CLÁUSULA SEXTA – REAJUSTE </w:t>
      </w:r>
    </w:p>
    <w:p w14:paraId="07D14F0A" w14:textId="4678BBD5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 Os preços serão fixos e irreajustáveis, exceto nas hipóteses do art. 65, II, d, da Lei nº 8.666/93, devidamente comprovadas.</w:t>
      </w:r>
    </w:p>
    <w:p w14:paraId="03D1F94B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Enquanto não reajustado o contrato presume-se o seu equilíbrio. </w:t>
      </w:r>
    </w:p>
    <w:p w14:paraId="295570BD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No caso de prorrogação do prazo contratual e desde que observado o interregno mínimo de um ano, contado da data limite para apresentação da proposta, ou, no reajuste ocorrido, os valores contratados poderão ser reajustados utilizando-se a variação do índice Nacional de Preços ao Consumidor Amplo (IPCA), instituído pelo Instituto brasileiro de Geografia e Estatística (IBGE).</w:t>
      </w:r>
    </w:p>
    <w:p w14:paraId="4DD2C8DE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 Aplicação do índice de reajuste se fará a requerimento da contratada.</w:t>
      </w:r>
    </w:p>
    <w:p w14:paraId="2A70CE0F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No caso de atraso ou não divulgação do índice de reajustamento, o CONTRATANTE pagará à CONTRATADA a importância calculada pela última variação conhecida, liquidando a diferença correspondente tão logo seja divulgado o índice definitivo. Fica a CONTRATADA obrigada a apresentar a memória de cálculo referente ao reajustamento de preços do valor remanescente, sempre que ocorrer.</w:t>
      </w:r>
    </w:p>
    <w:p w14:paraId="449DCE05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Nas aferições finais, o índice utilizado será, obrigatoriamente, o definitivo.</w:t>
      </w:r>
    </w:p>
    <w:p w14:paraId="74F574F9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Caso o índice estabelecido para reajustamento venha a ser extinto ou de qualquer forma não possa mais ser utilizado, será adotado, em substituto, o que vier a ser determinado pela legislação então em vigor. </w:t>
      </w:r>
    </w:p>
    <w:p w14:paraId="07956886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Na ausência de previsão legal quanto ao índice substituto, as partes elegerão novo índice oficial, para reajustamento do preço do valor remanescente, por meio de termo aditivo. </w:t>
      </w:r>
    </w:p>
    <w:p w14:paraId="09D79E19" w14:textId="77777777" w:rsidR="00F401B0" w:rsidRPr="004B07E1" w:rsidRDefault="00F401B0" w:rsidP="004B07E1">
      <w:pPr>
        <w:widowControl/>
        <w:numPr>
          <w:ilvl w:val="1"/>
          <w:numId w:val="1"/>
        </w:numPr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Os reajustes serão formalizados por meio de apostilamento, exceto quando coincidirem com a prorrogação contratual, caso em que deverão ser formalizadas por aditamento de contrato. </w:t>
      </w:r>
    </w:p>
    <w:p w14:paraId="1443D156" w14:textId="1CEF15E2" w:rsidR="00343160" w:rsidRPr="004B07E1" w:rsidRDefault="00075772" w:rsidP="004B07E1">
      <w:pPr>
        <w:pStyle w:val="Nivel01"/>
        <w:numPr>
          <w:ilvl w:val="0"/>
          <w:numId w:val="1"/>
        </w:numPr>
        <w:tabs>
          <w:tab w:val="clear" w:pos="567"/>
          <w:tab w:val="left" w:pos="142"/>
        </w:tabs>
        <w:spacing w:line="276" w:lineRule="auto"/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CLÁUSULA SÉTIMA – GARANTIA DE EXECUÇÃO</w:t>
      </w:r>
    </w:p>
    <w:p w14:paraId="0A16D283" w14:textId="68C3AC66" w:rsidR="00E430AF" w:rsidRPr="004B07E1" w:rsidRDefault="00E430AF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Não haverá exigência de garantia de execução para a presente contratação.</w:t>
      </w:r>
    </w:p>
    <w:p w14:paraId="6FE46296" w14:textId="337DC7A7" w:rsidR="005D5E40" w:rsidRPr="004B07E1" w:rsidRDefault="009769F6" w:rsidP="004B07E1">
      <w:pPr>
        <w:pStyle w:val="Nivel01"/>
        <w:numPr>
          <w:ilvl w:val="0"/>
          <w:numId w:val="1"/>
        </w:numPr>
        <w:tabs>
          <w:tab w:val="clear" w:pos="567"/>
          <w:tab w:val="left" w:pos="142"/>
        </w:tabs>
        <w:spacing w:line="276" w:lineRule="auto"/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OITAVA - </w:t>
      </w:r>
      <w:r w:rsidR="005D5E40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FORMA DE REALIZAÇÃO DO SERVIÇO</w:t>
      </w:r>
    </w:p>
    <w:p w14:paraId="27A70F3A" w14:textId="7CC5C69C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CONTRATO a ser celebrado tem por objetivo a contratação de empresa especializada para o serviço de ALUGUEL DE VEÍCULOS UTILITÁRIOS, CAMINHÕES e MÁQUINAS COM MOTORISTA/OPERADOR para atender as necessidades das Secretarias Municipais.</w:t>
      </w:r>
    </w:p>
    <w:p w14:paraId="4EFFEBED" w14:textId="073507AC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serviços a serem contratados deverão contemplar todos os itens necessários para seu pleno funcionamento.</w:t>
      </w:r>
    </w:p>
    <w:p w14:paraId="4B0AC45B" w14:textId="286076D1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Após a assinatura do contrato, a empresa vencedora do presente certame, em prazo máximo de 10 (dez) dias corridos, deverá apresentar toda a frota </w:t>
      </w:r>
      <w:r w:rsidRPr="004B07E1">
        <w:rPr>
          <w:rFonts w:ascii="Arial" w:eastAsia="Tahoma" w:hAnsi="Arial" w:cs="Arial"/>
          <w:w w:val="115"/>
          <w:lang w:eastAsia="pt-PT" w:bidi="pt-PT"/>
        </w:rPr>
        <w:lastRenderedPageBreak/>
        <w:t>contratada pela municipalidade, bem como documentação dos veículos, motoristas e operadores, necessários ao cumprimento do Código de Trânsito Brasileiro, para a execução dos serviços e operação dos veículos.</w:t>
      </w:r>
    </w:p>
    <w:p w14:paraId="771BA80E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Entende-se como documentação necessária para cumprimento do Código de Trânsito Brasileiro:</w:t>
      </w:r>
    </w:p>
    <w:p w14:paraId="7B0B087C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CNH dos motoristas e operadores com as devidas categorias e em validade;</w:t>
      </w:r>
    </w:p>
    <w:p w14:paraId="7151705C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CRLV dos veículos vistoriado/licenciado no ano da contratação.</w:t>
      </w:r>
    </w:p>
    <w:p w14:paraId="5C50683D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presente contratação deverá acompanhar a manutenção dos veículos, fornecimento de peças, seguro obrigatório e seguro conforme descrito nos subitens do item 5 e combustível.</w:t>
      </w:r>
    </w:p>
    <w:p w14:paraId="13BBDEE1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É indispensável o funcionamento dos hodômetros e dos horímetros dos equipamentos</w:t>
      </w:r>
    </w:p>
    <w:p w14:paraId="296214BD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prazo para início dos serviços será de 48 (quarenta e oito) horas a partir da emissão da Ordem de Serviço a ser enviada pela Secretaria responsável pela execução do serviço.</w:t>
      </w:r>
    </w:p>
    <w:p w14:paraId="32C25693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prazo que versa o item anterior poderá der prorrogado a critério da CONTRATANTE, desde que, devidamente justificado pela CONTRATADA.</w:t>
      </w:r>
    </w:p>
    <w:p w14:paraId="64801CEB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prazo prorrogado no subitem anterior não poderá ultrapassar o período de 48 (quarenta e oito) horas do prazo de início dos serviços.</w:t>
      </w:r>
    </w:p>
    <w:p w14:paraId="21E24335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veículos deverão conter adesivos de identificação nas portas laterais e/ou em qualquer local dos equipamentos (máquinas e tratores), de forma visível e destacada com a logo da Prefeitura Municipal de Nova Friburgo com os dizeres: “A SERVIÇO DA PREFEITURA MUNICIPAL DE NOVA FRIBURGO”.</w:t>
      </w:r>
    </w:p>
    <w:p w14:paraId="003907F2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Caso os veículos sejam usados pela contratada em outros trabalhos estranhos ao uso da municipalidade, ou em contratos com terceiros, fica a contratada proibida de usar as informações de que versam o subitem 8.5.</w:t>
      </w:r>
    </w:p>
    <w:p w14:paraId="26F29187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motoristas/operadores, juntamente com um servidor destinado pela secretaria de origem, manterão devidamente preenchido diário de bordo (planilha de acompanhamento), a ser  disponibilizado pela secretaria responsável pela realização do serviço.</w:t>
      </w:r>
    </w:p>
    <w:p w14:paraId="42C5ADE1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Tal diário de bordo (planilha de acompanhamento) deverá conter: horário de início e término diário da prestação de serviços, data, local, hodômetro, horímetro, placa do veículo ou número de identificação e demais observações necessárias, para fins de fiscalização e cálculo de horas em que o equipamento ficou à disposição da municipalidade.</w:t>
      </w:r>
    </w:p>
    <w:p w14:paraId="34AC5DB1" w14:textId="31099C84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Ficará a cargo do servidor a conferência das informações anotadas, sendo o m</w:t>
      </w:r>
      <w:r w:rsidR="004B07E1">
        <w:rPr>
          <w:rFonts w:ascii="Arial" w:eastAsia="Tahoma" w:hAnsi="Arial" w:cs="Arial"/>
          <w:w w:val="115"/>
          <w:lang w:eastAsia="pt-PT" w:bidi="pt-PT"/>
        </w:rPr>
        <w:t>.</w:t>
      </w:r>
      <w:r w:rsidRPr="004B07E1">
        <w:rPr>
          <w:rFonts w:ascii="Arial" w:eastAsia="Tahoma" w:hAnsi="Arial" w:cs="Arial"/>
          <w:w w:val="115"/>
          <w:lang w:eastAsia="pt-PT" w:bidi="pt-PT"/>
        </w:rPr>
        <w:t>esmo responsável pelos dados contidos no diário de bordo;</w:t>
      </w:r>
    </w:p>
    <w:p w14:paraId="539317AE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Após conferência, o servidor e o motorista/operador, assinarão os diários de bordo.</w:t>
      </w:r>
    </w:p>
    <w:p w14:paraId="4D0059E2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lastRenderedPageBreak/>
        <w:t>Em caso de quebra, avaria ou qualquer outro advento que impeça o veículo/equipamento de funcionar a CONTRATADA deverá seguir as seguintes determinações:</w:t>
      </w:r>
    </w:p>
    <w:p w14:paraId="21850D9E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Comunicar o fiscal do contrato o problema ocorrido no veículo/equipamento e qual solução será tomada para a resolver o problema em até 12 (doze) horas;</w:t>
      </w:r>
    </w:p>
    <w:p w14:paraId="08682A10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Após a comunicação, caso o veículo/equipamento fique mais de 5 (cinco) dias corridos na oficina para reparo, a CONTRATADA deverá disponibilizar outro veículo/equipamento com as mesmas características do veículo/equipamento danificado, em até 48 (quarenta e oito) horas.</w:t>
      </w:r>
    </w:p>
    <w:p w14:paraId="1F225C1D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não cumprimento do subitem 8.7.2 acarretará em advertência, multa ou até mesmo no cancelamento do contrato.</w:t>
      </w:r>
    </w:p>
    <w:p w14:paraId="04349623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No caso da ocorrência de apreensão do veículo, as despesas decorrentes da retirada, guincho e outras, correrão por conta da CONTRATADA.</w:t>
      </w:r>
    </w:p>
    <w:p w14:paraId="707068C5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CONTRATADA deverá arcar com todas as despesas referente a vale-transporte, vale-alimentação, encargos sociais, uniformes completos que incluem EPI, ferramental básico e todos os insumos necessários para desempenho adequado dos seus profissionais.</w:t>
      </w:r>
    </w:p>
    <w:p w14:paraId="23704647" w14:textId="77777777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Todos os profissionais que forem contratados junto à locação dos equipamentos, deverão receber uniformes completos que incluem EPI, ferramental básico e todos os insumos necessários para o bom desempenho das funções.</w:t>
      </w:r>
    </w:p>
    <w:p w14:paraId="2544DD3F" w14:textId="7564D6F1" w:rsidR="005D5E40" w:rsidRPr="004B07E1" w:rsidRDefault="005D5E40" w:rsidP="004B07E1">
      <w:pPr>
        <w:widowControl/>
        <w:numPr>
          <w:ilvl w:val="1"/>
          <w:numId w:val="1"/>
        </w:numPr>
        <w:tabs>
          <w:tab w:val="left" w:pos="142"/>
          <w:tab w:val="left" w:pos="426"/>
        </w:tabs>
        <w:autoSpaceDE/>
        <w:autoSpaceDN/>
        <w:spacing w:before="120" w:after="120" w:line="276" w:lineRule="auto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CONTRATADA prestará o serviço de acordo com todas as Leis Federais, Estaduais e Municipais, bem como regulamentações dos órgãos fiscalizatórios.</w:t>
      </w:r>
    </w:p>
    <w:p w14:paraId="3896D276" w14:textId="77777777" w:rsidR="00565669" w:rsidRPr="004B07E1" w:rsidRDefault="00565669" w:rsidP="00565669">
      <w:pPr>
        <w:pStyle w:val="PargrafodaLista"/>
        <w:widowControl/>
        <w:suppressAutoHyphens/>
        <w:overflowPunct w:val="0"/>
        <w:autoSpaceDE/>
        <w:autoSpaceDN/>
        <w:spacing w:before="0" w:line="360" w:lineRule="auto"/>
        <w:ind w:left="58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</w:p>
    <w:p w14:paraId="5DE8905A" w14:textId="0937734E" w:rsidR="005D5E40" w:rsidRPr="004B07E1" w:rsidRDefault="009769F6" w:rsidP="004B07E1">
      <w:pPr>
        <w:pStyle w:val="PargrafodaLista"/>
        <w:widowControl/>
        <w:numPr>
          <w:ilvl w:val="0"/>
          <w:numId w:val="1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jc w:val="both"/>
        <w:rPr>
          <w:rFonts w:ascii="Arial" w:eastAsia="Tahoma" w:hAnsi="Arial" w:cs="Arial"/>
          <w:b/>
          <w:bCs/>
          <w:w w:val="115"/>
          <w:lang w:eastAsia="pt-PT" w:bidi="pt-PT"/>
        </w:rPr>
      </w:pPr>
      <w:r>
        <w:rPr>
          <w:rFonts w:ascii="Arial" w:eastAsia="Tahoma" w:hAnsi="Arial" w:cs="Arial"/>
          <w:b/>
          <w:bCs/>
          <w:w w:val="115"/>
          <w:lang w:eastAsia="pt-PT" w:bidi="pt-PT"/>
        </w:rPr>
        <w:t xml:space="preserve">CLÁUSULA NONA - </w:t>
      </w:r>
      <w:r w:rsidR="005D5E40" w:rsidRPr="004B07E1">
        <w:rPr>
          <w:rFonts w:ascii="Arial" w:eastAsia="Tahoma" w:hAnsi="Arial" w:cs="Arial"/>
          <w:b/>
          <w:bCs/>
          <w:w w:val="115"/>
          <w:lang w:eastAsia="pt-PT" w:bidi="pt-PT"/>
        </w:rPr>
        <w:t>DOS DIAS E HORÁRIOS DA PRESTAÇÃO DE SERVIÇOS</w:t>
      </w:r>
    </w:p>
    <w:p w14:paraId="3DF6BE10" w14:textId="79957F5B" w:rsidR="005D5E40" w:rsidRPr="004B07E1" w:rsidRDefault="005D5E40" w:rsidP="004B07E1">
      <w:pPr>
        <w:pStyle w:val="PargrafodaLista"/>
        <w:widowControl/>
        <w:numPr>
          <w:ilvl w:val="1"/>
          <w:numId w:val="1"/>
        </w:numPr>
        <w:suppressAutoHyphens/>
        <w:overflowPunct w:val="0"/>
        <w:autoSpaceDE/>
        <w:autoSpaceDN/>
        <w:spacing w:line="360" w:lineRule="auto"/>
        <w:ind w:left="142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veículos poderão ser utilizados em dias úteis, no horário compreendido entre 07h e 18h:</w:t>
      </w:r>
    </w:p>
    <w:p w14:paraId="3DE63ED5" w14:textId="77777777" w:rsidR="005D5E40" w:rsidRPr="004B07E1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empresa prestará o serviço de acordo com o horário de funcionamento de cada órgão, tais quais, administrações de bairro, subprefeituras e demais setores subordinados as secretarias requerentes do presente objeto.</w:t>
      </w:r>
    </w:p>
    <w:p w14:paraId="4505551C" w14:textId="77777777" w:rsidR="005D5E40" w:rsidRPr="004B07E1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Excepcionalmente, os equipamentos poderão ficar à disposição do Município, em finais de semanas e feriados, bem como em períodos noturnos, em casos de calamidade, ou em casos que a administração municipal julgue necessário, desde que devidamente justificados.</w:t>
      </w:r>
    </w:p>
    <w:p w14:paraId="789EE3F1" w14:textId="77777777" w:rsidR="005D5E40" w:rsidRPr="004B07E1" w:rsidRDefault="005D5E40" w:rsidP="004B07E1">
      <w:pPr>
        <w:pStyle w:val="PargrafodaLista"/>
        <w:widowControl/>
        <w:numPr>
          <w:ilvl w:val="1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Em situações em que a administração municipal requerer os equipamentos no que diz o subitem 9.1.2, a empresa vencedora deverá:</w:t>
      </w:r>
    </w:p>
    <w:p w14:paraId="029B8D6A" w14:textId="77777777" w:rsidR="005D5E40" w:rsidRPr="004B07E1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lastRenderedPageBreak/>
        <w:t>Deixar de sobreaviso um número de motoristas/operadores e de equipamentos para atender a municipalidade;</w:t>
      </w:r>
    </w:p>
    <w:p w14:paraId="248CCE89" w14:textId="77777777" w:rsidR="005D5E40" w:rsidRPr="004B07E1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administração pública deverá comunicar a empresa vencedora com antecedência a quantidade de motorista/operadores e equipamentos que ficarão de sobreaviso;</w:t>
      </w:r>
    </w:p>
    <w:p w14:paraId="48DC2BFF" w14:textId="77777777" w:rsidR="005D5E40" w:rsidRPr="004B07E1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medição das horas dos equipamentos e motoristas/operadores que estiverem em sobreaviso se dará da seguinte maneira:</w:t>
      </w:r>
    </w:p>
    <w:p w14:paraId="4190B864" w14:textId="77777777" w:rsidR="005D5E40" w:rsidRPr="004B07E1" w:rsidRDefault="005D5E40" w:rsidP="004B07E1">
      <w:pPr>
        <w:pStyle w:val="PargrafodaLista"/>
        <w:widowControl/>
        <w:numPr>
          <w:ilvl w:val="3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período em que os equipamentos e motoristas/operadores estiverem de sobreaviso, a marcação da planílha se dará nas horas improdutivas.</w:t>
      </w:r>
    </w:p>
    <w:p w14:paraId="67FEBD9A" w14:textId="77777777" w:rsidR="005D5E40" w:rsidRPr="004B07E1" w:rsidRDefault="005D5E40" w:rsidP="004B07E1">
      <w:pPr>
        <w:pStyle w:val="PargrafodaLista"/>
        <w:widowControl/>
        <w:numPr>
          <w:ilvl w:val="3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período em que os equipamentos e motoristas/operadores estiverem a campo trabalhando, a marcação das planílhas de dará nas horas produtivas.</w:t>
      </w:r>
    </w:p>
    <w:p w14:paraId="32BC9EA7" w14:textId="77777777" w:rsidR="005D5E40" w:rsidRPr="004B07E1" w:rsidRDefault="005D5E40" w:rsidP="004B07E1">
      <w:pPr>
        <w:pStyle w:val="PargrafodaLista"/>
        <w:widowControl/>
        <w:numPr>
          <w:ilvl w:val="1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períodos em que equipamentos estiverem parados por motivos climáticos (chuva), a medição se dará nas horas improdutivas;</w:t>
      </w:r>
    </w:p>
    <w:p w14:paraId="091F411E" w14:textId="77777777" w:rsidR="005D5E40" w:rsidRPr="004B07E1" w:rsidRDefault="005D5E40" w:rsidP="004B07E1">
      <w:pPr>
        <w:pStyle w:val="PargrafodaLista"/>
        <w:widowControl/>
        <w:numPr>
          <w:ilvl w:val="1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Se um equipamento quebrar e paralisar todos os serviços, todos os equipamentos locados, inclusive o equipamento quebrado, a administração pública ficará isento de marcação das planilhas e do pagamento.</w:t>
      </w:r>
    </w:p>
    <w:p w14:paraId="0F11C437" w14:textId="77777777" w:rsidR="005D5E40" w:rsidRPr="004B07E1" w:rsidRDefault="005D5E40" w:rsidP="004B07E1">
      <w:pPr>
        <w:pStyle w:val="PargrafodaLista"/>
        <w:widowControl/>
        <w:numPr>
          <w:ilvl w:val="1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empresa vencedora do certame deverá disponibilizar um local (terreno, galpão), de fácil acesso, para ser a base dos equipamentos contratados pela municipalidade.</w:t>
      </w:r>
    </w:p>
    <w:p w14:paraId="37A11AD1" w14:textId="77777777" w:rsidR="005D5E40" w:rsidRPr="004B07E1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Em caso de os equipamentos estiverem operando em localidades distantes, os mesmos poderão pernoitar em equipamentos públicos para segurança do bem e para agilidade na locomoção.</w:t>
      </w:r>
    </w:p>
    <w:p w14:paraId="3A8E9D8A" w14:textId="0D98E8A5" w:rsidR="005D5E40" w:rsidRDefault="005D5E40" w:rsidP="004B07E1">
      <w:pPr>
        <w:pStyle w:val="PargrafodaLista"/>
        <w:widowControl/>
        <w:numPr>
          <w:ilvl w:val="2"/>
          <w:numId w:val="1"/>
        </w:numPr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Nos casos decorrentes do subitem 9.5.1, o município ficará isento de quaisquer adventos, avarias, danos, roubos etc, que sobrevier sobre os equipamentos.</w:t>
      </w:r>
    </w:p>
    <w:p w14:paraId="3E21BE09" w14:textId="77777777" w:rsidR="004B07E1" w:rsidRPr="004B07E1" w:rsidRDefault="004B07E1" w:rsidP="004B07E1">
      <w:pPr>
        <w:pStyle w:val="PargrafodaLista"/>
        <w:widowControl/>
        <w:suppressAutoHyphens/>
        <w:overflowPunct w:val="0"/>
        <w:autoSpaceDE/>
        <w:autoSpaceDN/>
        <w:spacing w:before="0" w:line="360" w:lineRule="auto"/>
        <w:ind w:left="141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</w:p>
    <w:p w14:paraId="0C3E9A44" w14:textId="75F0F346" w:rsidR="005D5E40" w:rsidRPr="004B07E1" w:rsidRDefault="009769F6" w:rsidP="004B07E1">
      <w:pPr>
        <w:pStyle w:val="PargrafodaLista"/>
        <w:widowControl/>
        <w:numPr>
          <w:ilvl w:val="0"/>
          <w:numId w:val="1"/>
        </w:numPr>
        <w:tabs>
          <w:tab w:val="left" w:pos="567"/>
        </w:tabs>
        <w:suppressAutoHyphens/>
        <w:overflowPunct w:val="0"/>
        <w:autoSpaceDE/>
        <w:autoSpaceDN/>
        <w:spacing w:before="0" w:line="360" w:lineRule="auto"/>
        <w:ind w:left="142" w:firstLine="0"/>
        <w:contextualSpacing/>
        <w:jc w:val="both"/>
        <w:rPr>
          <w:rFonts w:ascii="Arial" w:eastAsia="Tahoma" w:hAnsi="Arial" w:cs="Arial"/>
          <w:b/>
          <w:bCs/>
          <w:w w:val="115"/>
          <w:lang w:eastAsia="pt-PT" w:bidi="pt-PT"/>
        </w:rPr>
      </w:pPr>
      <w:r>
        <w:rPr>
          <w:rFonts w:ascii="Arial" w:eastAsia="Tahoma" w:hAnsi="Arial" w:cs="Arial"/>
          <w:b/>
          <w:bCs/>
          <w:w w:val="115"/>
          <w:lang w:eastAsia="pt-PT" w:bidi="pt-PT"/>
        </w:rPr>
        <w:t xml:space="preserve">CLÁUSULA DÉCIMA - </w:t>
      </w:r>
      <w:r w:rsidR="005D5E40" w:rsidRPr="004B07E1">
        <w:rPr>
          <w:rFonts w:ascii="Arial" w:eastAsia="Tahoma" w:hAnsi="Arial" w:cs="Arial"/>
          <w:b/>
          <w:bCs/>
          <w:w w:val="115"/>
          <w:lang w:eastAsia="pt-PT" w:bidi="pt-PT"/>
        </w:rPr>
        <w:t>LOCAIS DE PRESTAÇÃO DOS SERVIÇOS</w:t>
      </w:r>
    </w:p>
    <w:p w14:paraId="58B0E217" w14:textId="77777777" w:rsidR="005D5E40" w:rsidRPr="004B07E1" w:rsidRDefault="005D5E40" w:rsidP="004B07E1">
      <w:pPr>
        <w:pStyle w:val="PargrafodaLista"/>
        <w:widowControl/>
        <w:numPr>
          <w:ilvl w:val="1"/>
          <w:numId w:val="1"/>
        </w:numPr>
        <w:tabs>
          <w:tab w:val="left" w:pos="567"/>
        </w:tabs>
        <w:suppressAutoHyphens/>
        <w:overflowPunct w:val="0"/>
        <w:autoSpaceDE/>
        <w:autoSpaceDN/>
        <w:spacing w:before="0" w:line="360" w:lineRule="auto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prestação do serviço se dará em todo o território geográfico do Município de Nova Friburgo.</w:t>
      </w:r>
    </w:p>
    <w:p w14:paraId="14DE7FD3" w14:textId="77777777" w:rsidR="005D5E40" w:rsidRPr="004B07E1" w:rsidRDefault="005D5E40" w:rsidP="000847D8">
      <w:pPr>
        <w:pStyle w:val="PargrafodaLista"/>
        <w:widowControl/>
        <w:numPr>
          <w:ilvl w:val="1"/>
          <w:numId w:val="1"/>
        </w:numPr>
        <w:tabs>
          <w:tab w:val="left" w:pos="567"/>
        </w:tabs>
        <w:suppressAutoHyphens/>
        <w:overflowPunct w:val="0"/>
        <w:autoSpaceDE/>
        <w:autoSpaceDN/>
        <w:spacing w:before="0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 Excepcionalmente, desde que devidamente justificado, os veículos poderão sair dos limites do município de Nova Friburgo, desde que previamente autorizados pela Secretaria responsável, estritamente para atendimento a demanda de interesse do município, vedada a utilização para fins particulares ou por terceiros.</w:t>
      </w:r>
    </w:p>
    <w:p w14:paraId="36DA719B" w14:textId="77777777" w:rsidR="005D5E40" w:rsidRPr="004B07E1" w:rsidRDefault="005D5E40" w:rsidP="000847D8">
      <w:pPr>
        <w:pStyle w:val="PargrafodaLista"/>
        <w:widowControl/>
        <w:numPr>
          <w:ilvl w:val="2"/>
          <w:numId w:val="1"/>
        </w:numPr>
        <w:tabs>
          <w:tab w:val="left" w:pos="567"/>
        </w:tabs>
        <w:suppressAutoHyphens/>
        <w:overflowPunct w:val="0"/>
        <w:autoSpaceDE/>
        <w:autoSpaceDN/>
        <w:spacing w:before="0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lastRenderedPageBreak/>
        <w:t>No caso de necessidade de deslocamento para outros municípios, os mesmos serão prestados dentro do mesmo valor estipulado na licitação, sem ônus para o município.</w:t>
      </w:r>
    </w:p>
    <w:p w14:paraId="75452ABC" w14:textId="77777777" w:rsidR="005D5E40" w:rsidRPr="004B07E1" w:rsidRDefault="005D5E40" w:rsidP="000847D8">
      <w:pPr>
        <w:pStyle w:val="PargrafodaLista"/>
        <w:widowControl/>
        <w:numPr>
          <w:ilvl w:val="2"/>
          <w:numId w:val="1"/>
        </w:numPr>
        <w:tabs>
          <w:tab w:val="left" w:pos="567"/>
        </w:tabs>
        <w:suppressAutoHyphens/>
        <w:overflowPunct w:val="0"/>
        <w:autoSpaceDE/>
        <w:autoSpaceDN/>
        <w:spacing w:before="0"/>
        <w:ind w:leftChars="64" w:left="141" w:firstLine="0"/>
        <w:contextualSpacing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Caso esse deslocamento para outro município seja em área de pedágio, o pagamento ocorrerá as espessas da contratada.</w:t>
      </w:r>
    </w:p>
    <w:p w14:paraId="3D4F7B84" w14:textId="68356B11" w:rsidR="00027837" w:rsidRPr="004B07E1" w:rsidRDefault="00027837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</w:t>
      </w:r>
      <w:r w:rsidR="005C03DB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DÉCIMA PRIMEIRA</w:t>
      </w:r>
      <w:r w:rsidR="005C03DB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-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</w:t>
      </w:r>
      <w:r w:rsidR="00E430AF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REGIME DE EXECUÇÃO DOS SERVIÇOS E FISCALIZAÇÃO</w:t>
      </w:r>
    </w:p>
    <w:p w14:paraId="131F97AB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regime de execução dos serviços a serem executados pela CONTRATADA, os materiais que serão empregados e a fiscalização pela CONTRATANTE são aqueles previstos no Termo de Referência, anexo do Edital.</w:t>
      </w:r>
    </w:p>
    <w:p w14:paraId="19D2F945" w14:textId="2EAA2096" w:rsidR="00E430AF" w:rsidRPr="004B07E1" w:rsidRDefault="00E430AF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DÉCIMA SEGUNDA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– OBRIGAÇÕES DA CONTRATANTE E DA CONTRATADA</w:t>
      </w:r>
    </w:p>
    <w:p w14:paraId="4DB180AA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As obrigações da CONTRATANTE e da CONTRATADA são aquelas previstas no Termo de Referência, anexo do Edital.</w:t>
      </w:r>
    </w:p>
    <w:p w14:paraId="2DA1E73B" w14:textId="67B6D42F" w:rsidR="00E430AF" w:rsidRPr="004B07E1" w:rsidRDefault="00E430AF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CLÁUSULA DÉCIMA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TERCEIRA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– SANÇÕES ADMINISTRATIVAS.</w:t>
      </w:r>
    </w:p>
    <w:p w14:paraId="3730845F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As sanções relacionadas à execução do contrato são aquelas previstas no Termo de Referência, anexo do Edital.</w:t>
      </w:r>
    </w:p>
    <w:p w14:paraId="64068B31" w14:textId="35DE0AE4" w:rsidR="00343160" w:rsidRPr="004B07E1" w:rsidRDefault="00075772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DÉCIMA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QUARTA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– RESCISÃO</w:t>
      </w:r>
    </w:p>
    <w:p w14:paraId="49C886E9" w14:textId="77777777" w:rsidR="00E430AF" w:rsidRPr="004B07E1" w:rsidRDefault="003F2633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 </w:t>
      </w:r>
      <w:r w:rsidR="00E430AF" w:rsidRPr="004B07E1">
        <w:rPr>
          <w:rFonts w:ascii="Arial" w:eastAsia="Tahoma" w:hAnsi="Arial" w:cs="Arial"/>
          <w:w w:val="115"/>
          <w:lang w:eastAsia="pt-PT" w:bidi="pt-PT"/>
        </w:rPr>
        <w:t>O presente Termo de Contrato poderá ser rescindido:</w:t>
      </w:r>
    </w:p>
    <w:p w14:paraId="2CEC7D80" w14:textId="77777777" w:rsidR="00E430AF" w:rsidRPr="004B07E1" w:rsidRDefault="00E430AF" w:rsidP="000847D8">
      <w:pPr>
        <w:widowControl/>
        <w:numPr>
          <w:ilvl w:val="2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por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</w:t>
      </w:r>
    </w:p>
    <w:p w14:paraId="07975DB6" w14:textId="77777777" w:rsidR="00E430AF" w:rsidRPr="004B07E1" w:rsidRDefault="00E430AF" w:rsidP="000847D8">
      <w:pPr>
        <w:widowControl/>
        <w:numPr>
          <w:ilvl w:val="2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amigavelmente, nos termos do art. 79, inciso II, da Lei nº 8.666, de 1993. </w:t>
      </w:r>
    </w:p>
    <w:p w14:paraId="54F2CA29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casos de rescisão contratual serão formalmente motivados, assegurando-se à CONTRATADA o direito à prévia e ampla defesa.</w:t>
      </w:r>
    </w:p>
    <w:p w14:paraId="014265D5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CONTRATADA reconhece os direitos da CONTRATANTE em caso de rescisão administrativa prevista no art. 77 da Lei nº 8.666, de 1993.</w:t>
      </w:r>
    </w:p>
    <w:p w14:paraId="6B49552C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 termo de rescisão, sempre que possível, será precedido:</w:t>
      </w:r>
    </w:p>
    <w:p w14:paraId="77556D0C" w14:textId="77777777" w:rsidR="00E430AF" w:rsidRPr="004B07E1" w:rsidRDefault="00E430AF" w:rsidP="000847D8">
      <w:pPr>
        <w:widowControl/>
        <w:numPr>
          <w:ilvl w:val="2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Balanço dos eventos contratuais já cumpridos ou parcialmente cumpridos;</w:t>
      </w:r>
    </w:p>
    <w:p w14:paraId="234558AD" w14:textId="77777777" w:rsidR="00E430AF" w:rsidRPr="004B07E1" w:rsidRDefault="00E430AF" w:rsidP="000847D8">
      <w:pPr>
        <w:widowControl/>
        <w:numPr>
          <w:ilvl w:val="2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Relação dos pagamentos já efetuados e ainda devidos;</w:t>
      </w:r>
    </w:p>
    <w:p w14:paraId="3667AD4E" w14:textId="77777777" w:rsidR="00E430AF" w:rsidRPr="004B07E1" w:rsidRDefault="00E430AF" w:rsidP="000847D8">
      <w:pPr>
        <w:widowControl/>
        <w:numPr>
          <w:ilvl w:val="2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Indenizações e multas.</w:t>
      </w:r>
    </w:p>
    <w:p w14:paraId="78D394CB" w14:textId="28C74F03" w:rsidR="00E430AF" w:rsidRPr="004B07E1" w:rsidRDefault="00E430AF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DÉCIMA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QUINTA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– VEDAÇÕES </w:t>
      </w:r>
    </w:p>
    <w:p w14:paraId="09B196A6" w14:textId="173115E0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É vedado à CONTRATADA interromper a execução dos serviços sob alegação de inadimplemento por parte da CONTRATANTE, salvo nos casos previstos em lei.</w:t>
      </w:r>
    </w:p>
    <w:p w14:paraId="2BC2FF34" w14:textId="7E121910" w:rsidR="00E430AF" w:rsidRPr="004B07E1" w:rsidRDefault="00E430AF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lastRenderedPageBreak/>
        <w:t xml:space="preserve">CLÁUSULA DÉCIMA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SEXTA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– ALTERAÇÕES</w:t>
      </w:r>
    </w:p>
    <w:p w14:paraId="72C529D5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Eventuais alterações contratuais reger-se-ão pela disciplina do art. 65 da Lei nº 8.666, de 1993.</w:t>
      </w:r>
    </w:p>
    <w:p w14:paraId="10E2B636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6474E365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As supressões resultantes de acordo celebrado entre as partes contratantes poderão exceder o limite de 25% (vinte e cinco por cento) do valor inicial atualizado do contrato.</w:t>
      </w:r>
    </w:p>
    <w:p w14:paraId="35AB4933" w14:textId="7F400B3F" w:rsidR="00343160" w:rsidRPr="004B07E1" w:rsidRDefault="00075772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CLÁUSULA DÉCIMA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SÉTIMA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- DOS CASOS OMISSOS.</w:t>
      </w:r>
    </w:p>
    <w:p w14:paraId="2CF08EED" w14:textId="77777777" w:rsidR="00E430AF" w:rsidRPr="004B07E1" w:rsidRDefault="00E430AF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0A90EB1C" w14:textId="1B39426F" w:rsidR="00343160" w:rsidRPr="004B07E1" w:rsidRDefault="00075772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</w:t>
      </w:r>
      <w:r w:rsidR="00D65EAF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DÉCIMA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OITAVA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– PUBLICAÇÃO</w:t>
      </w:r>
    </w:p>
    <w:p w14:paraId="74984C10" w14:textId="615AE77E" w:rsidR="00343160" w:rsidRPr="004B07E1" w:rsidRDefault="00075772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Incumbirá à CONTRATANTE providenciar a publicação deste instrumento, por extrato, no Diário Oficial </w:t>
      </w:r>
      <w:r w:rsidR="00E430AF" w:rsidRPr="004B07E1">
        <w:rPr>
          <w:rFonts w:ascii="Arial" w:eastAsia="Tahoma" w:hAnsi="Arial" w:cs="Arial"/>
          <w:w w:val="115"/>
          <w:lang w:eastAsia="pt-PT" w:bidi="pt-PT"/>
        </w:rPr>
        <w:t>Eletrînico do Município de Nova Friburgo</w:t>
      </w:r>
      <w:r w:rsidRPr="004B07E1">
        <w:rPr>
          <w:rFonts w:ascii="Arial" w:eastAsia="Tahoma" w:hAnsi="Arial" w:cs="Arial"/>
          <w:w w:val="115"/>
          <w:lang w:eastAsia="pt-PT" w:bidi="pt-PT"/>
        </w:rPr>
        <w:t>, no prazo previsto na Lei nº 8.666, de 1993.</w:t>
      </w:r>
    </w:p>
    <w:p w14:paraId="11AAF92D" w14:textId="329E6676" w:rsidR="00343160" w:rsidRPr="004B07E1" w:rsidRDefault="00075772" w:rsidP="000847D8">
      <w:pPr>
        <w:pStyle w:val="Nivel01"/>
        <w:numPr>
          <w:ilvl w:val="0"/>
          <w:numId w:val="1"/>
        </w:numPr>
        <w:ind w:left="142" w:firstLine="0"/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</w:pP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CLÁUSULA </w:t>
      </w:r>
      <w:r w:rsidR="005C03DB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DÉCIMA </w:t>
      </w:r>
      <w:r w:rsidR="009769F6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NONA</w:t>
      </w:r>
      <w:r w:rsidR="0055488F"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 xml:space="preserve"> </w:t>
      </w:r>
      <w:r w:rsidRPr="004B07E1">
        <w:rPr>
          <w:rFonts w:ascii="Arial" w:eastAsia="Tahoma" w:hAnsi="Arial" w:cs="Arial"/>
          <w:w w:val="115"/>
          <w:sz w:val="22"/>
          <w:szCs w:val="22"/>
          <w:lang w:val="pt-PT" w:eastAsia="pt-PT" w:bidi="pt-PT"/>
        </w:rPr>
        <w:t>– FORO</w:t>
      </w:r>
    </w:p>
    <w:p w14:paraId="6725F475" w14:textId="77777777" w:rsidR="00343160" w:rsidRPr="004B07E1" w:rsidRDefault="00075772" w:rsidP="000847D8">
      <w:pPr>
        <w:widowControl/>
        <w:numPr>
          <w:ilvl w:val="1"/>
          <w:numId w:val="1"/>
        </w:numPr>
        <w:autoSpaceDE/>
        <w:autoSpaceDN/>
        <w:spacing w:before="120" w:after="120"/>
        <w:ind w:left="142" w:firstLine="0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É eleito o Foro da comarca de Nova Friburgo/RJ para dirimir os litígios que decorrerem da execução deste Termo de Contrato que não possam ser compostos pela conciliação, conforme art. 55, §2º da Lei nº 8.666/93. </w:t>
      </w:r>
    </w:p>
    <w:p w14:paraId="0A7CD7A5" w14:textId="19FDCDA0" w:rsidR="00343160" w:rsidRDefault="00075772" w:rsidP="000847D8">
      <w:pPr>
        <w:spacing w:before="120" w:after="120"/>
        <w:ind w:left="142"/>
        <w:jc w:val="both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Para firmeza e validade do pactuado, o presente Termo de Contrato foi lavrado em 03 (</w:t>
      </w:r>
      <w:r w:rsidR="00A84E21" w:rsidRPr="004B07E1">
        <w:rPr>
          <w:rFonts w:ascii="Arial" w:eastAsia="Tahoma" w:hAnsi="Arial" w:cs="Arial"/>
          <w:w w:val="115"/>
          <w:lang w:eastAsia="pt-PT" w:bidi="pt-PT"/>
        </w:rPr>
        <w:t>D</w:t>
      </w:r>
      <w:r w:rsidRPr="004B07E1">
        <w:rPr>
          <w:rFonts w:ascii="Arial" w:eastAsia="Tahoma" w:hAnsi="Arial" w:cs="Arial"/>
          <w:w w:val="115"/>
          <w:lang w:eastAsia="pt-PT" w:bidi="pt-PT"/>
        </w:rPr>
        <w:t xml:space="preserve">) vias de igual teor, que, depois de lido e achado em ordem, vai assinado pelos contraentes. </w:t>
      </w:r>
    </w:p>
    <w:p w14:paraId="72699A9F" w14:textId="41BE3BA2" w:rsidR="00343160" w:rsidRPr="004B07E1" w:rsidRDefault="00075772" w:rsidP="000847D8">
      <w:pPr>
        <w:spacing w:after="120"/>
        <w:ind w:right="-15"/>
        <w:jc w:val="right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...........................................,  .......... de.......................................... de 20</w:t>
      </w:r>
      <w:r w:rsidR="00EB136C" w:rsidRPr="004B07E1">
        <w:rPr>
          <w:rFonts w:ascii="Arial" w:eastAsia="Tahoma" w:hAnsi="Arial" w:cs="Arial"/>
          <w:w w:val="115"/>
          <w:lang w:eastAsia="pt-PT" w:bidi="pt-PT"/>
        </w:rPr>
        <w:t>23</w:t>
      </w:r>
      <w:r w:rsidR="005C03DB" w:rsidRPr="004B07E1">
        <w:rPr>
          <w:rFonts w:ascii="Arial" w:eastAsia="Tahoma" w:hAnsi="Arial" w:cs="Arial"/>
          <w:w w:val="115"/>
          <w:lang w:eastAsia="pt-PT" w:bidi="pt-PT"/>
        </w:rPr>
        <w:t>.</w:t>
      </w:r>
    </w:p>
    <w:p w14:paraId="516A382D" w14:textId="77777777" w:rsidR="00354195" w:rsidRPr="004B07E1" w:rsidRDefault="00354195" w:rsidP="00E430AF">
      <w:pPr>
        <w:spacing w:after="120"/>
        <w:jc w:val="both"/>
        <w:rPr>
          <w:rFonts w:ascii="Arial" w:eastAsia="Tahoma" w:hAnsi="Arial" w:cs="Arial"/>
          <w:w w:val="115"/>
          <w:lang w:eastAsia="pt-PT" w:bidi="pt-PT"/>
        </w:rPr>
      </w:pPr>
    </w:p>
    <w:p w14:paraId="585DC31E" w14:textId="3ED37632" w:rsidR="00343160" w:rsidRPr="004B07E1" w:rsidRDefault="00075772" w:rsidP="00EB136C">
      <w:pPr>
        <w:spacing w:after="120"/>
        <w:jc w:val="center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_________________________</w:t>
      </w:r>
    </w:p>
    <w:p w14:paraId="20132B65" w14:textId="77777777" w:rsidR="00343160" w:rsidRPr="004B07E1" w:rsidRDefault="00075772" w:rsidP="00EB136C">
      <w:pPr>
        <w:spacing w:after="120"/>
        <w:jc w:val="center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Responsável legal da CONTRATANTE</w:t>
      </w:r>
    </w:p>
    <w:p w14:paraId="79D0AF7C" w14:textId="77777777" w:rsidR="00354195" w:rsidRPr="004B07E1" w:rsidRDefault="00354195" w:rsidP="00EB136C">
      <w:pPr>
        <w:spacing w:after="120"/>
        <w:jc w:val="center"/>
        <w:rPr>
          <w:rFonts w:ascii="Arial" w:eastAsia="Tahoma" w:hAnsi="Arial" w:cs="Arial"/>
          <w:w w:val="115"/>
          <w:lang w:eastAsia="pt-PT" w:bidi="pt-PT"/>
        </w:rPr>
      </w:pPr>
    </w:p>
    <w:p w14:paraId="1A747ED6" w14:textId="72F9F248" w:rsidR="00343160" w:rsidRPr="004B07E1" w:rsidRDefault="00075772" w:rsidP="00EB136C">
      <w:pPr>
        <w:spacing w:after="120"/>
        <w:jc w:val="center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_________________________</w:t>
      </w:r>
    </w:p>
    <w:p w14:paraId="0232939D" w14:textId="77777777" w:rsidR="00343160" w:rsidRPr="004B07E1" w:rsidRDefault="00075772" w:rsidP="00EB136C">
      <w:pPr>
        <w:spacing w:after="120"/>
        <w:jc w:val="center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Responsável legal da CONTRATADA</w:t>
      </w:r>
    </w:p>
    <w:p w14:paraId="734639F8" w14:textId="77777777" w:rsidR="00EB136C" w:rsidRPr="004B07E1" w:rsidRDefault="00EB136C" w:rsidP="00EB136C">
      <w:pPr>
        <w:spacing w:after="120"/>
        <w:jc w:val="center"/>
        <w:rPr>
          <w:rFonts w:ascii="Arial" w:eastAsia="Tahoma" w:hAnsi="Arial" w:cs="Arial"/>
          <w:w w:val="115"/>
          <w:lang w:eastAsia="pt-PT" w:bidi="pt-PT"/>
        </w:rPr>
      </w:pPr>
    </w:p>
    <w:p w14:paraId="15E2879A" w14:textId="682AE630" w:rsidR="00343160" w:rsidRPr="004B07E1" w:rsidRDefault="00075772" w:rsidP="00EB136C">
      <w:pPr>
        <w:spacing w:after="120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TESTEMUNHAS:</w:t>
      </w:r>
    </w:p>
    <w:p w14:paraId="50CDAC75" w14:textId="7D5DE95B" w:rsidR="00EB136C" w:rsidRPr="004B07E1" w:rsidRDefault="00EB136C" w:rsidP="00EB136C">
      <w:pPr>
        <w:spacing w:after="120"/>
        <w:rPr>
          <w:rFonts w:ascii="Arial" w:eastAsia="Tahoma" w:hAnsi="Arial" w:cs="Arial"/>
          <w:w w:val="115"/>
          <w:lang w:eastAsia="pt-PT" w:bidi="pt-PT"/>
        </w:rPr>
      </w:pPr>
    </w:p>
    <w:p w14:paraId="16CE34A2" w14:textId="06FECC94" w:rsidR="00EB136C" w:rsidRPr="004B07E1" w:rsidRDefault="00EB136C" w:rsidP="00EB136C">
      <w:pPr>
        <w:spacing w:after="120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>1 -</w:t>
      </w:r>
    </w:p>
    <w:p w14:paraId="6DC24A69" w14:textId="36259D22" w:rsidR="00EB136C" w:rsidRPr="004B07E1" w:rsidRDefault="00EB136C" w:rsidP="00EB136C">
      <w:pPr>
        <w:spacing w:after="120"/>
        <w:rPr>
          <w:rFonts w:ascii="Arial" w:eastAsia="Tahoma" w:hAnsi="Arial" w:cs="Arial"/>
          <w:w w:val="115"/>
          <w:lang w:eastAsia="pt-PT" w:bidi="pt-PT"/>
        </w:rPr>
      </w:pPr>
      <w:r w:rsidRPr="004B07E1">
        <w:rPr>
          <w:rFonts w:ascii="Arial" w:eastAsia="Tahoma" w:hAnsi="Arial" w:cs="Arial"/>
          <w:w w:val="115"/>
          <w:lang w:eastAsia="pt-PT" w:bidi="pt-PT"/>
        </w:rPr>
        <w:t xml:space="preserve">2 - </w:t>
      </w:r>
    </w:p>
    <w:sectPr w:rsidR="00EB136C" w:rsidRPr="004B07E1" w:rsidSect="009769F6">
      <w:headerReference w:type="default" r:id="rId8"/>
      <w:footerReference w:type="default" r:id="rId9"/>
      <w:pgSz w:w="11910" w:h="16840"/>
      <w:pgMar w:top="1418" w:right="1418" w:bottom="1418" w:left="1418" w:header="142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B00AD" w14:textId="77777777" w:rsidR="00AF5379" w:rsidRDefault="00AF5379">
      <w:r>
        <w:separator/>
      </w:r>
    </w:p>
  </w:endnote>
  <w:endnote w:type="continuationSeparator" w:id="0">
    <w:p w14:paraId="63D6C550" w14:textId="77777777" w:rsidR="00AF5379" w:rsidRDefault="00AF5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Cambria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D185" w14:textId="77777777" w:rsidR="00343160" w:rsidRDefault="00075772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2D73DC6B" w14:textId="01799455" w:rsidR="00343160" w:rsidRDefault="00075772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7E0DB2" w:rsidRPr="00813D4A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50DBCD83" w14:textId="77777777" w:rsidR="00343160" w:rsidRDefault="00075772">
    <w:pPr>
      <w:pStyle w:val="Rodap"/>
      <w:jc w:val="right"/>
      <w:rPr>
        <w:rFonts w:ascii="Azo Sans Lt" w:hAnsi="Azo Sans Lt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>
      <w:rPr>
        <w:rFonts w:ascii="Azo Sans Lt" w:hAnsi="Azo Sans Lt"/>
        <w:b/>
        <w:bCs/>
        <w:color w:val="000000"/>
        <w:sz w:val="18"/>
        <w:szCs w:val="18"/>
      </w:rPr>
      <w:fldChar w:fldCharType="begin"/>
    </w:r>
    <w:r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>
      <w:rPr>
        <w:rFonts w:ascii="Azo Sans Lt" w:hAnsi="Azo Sans Lt"/>
        <w:b/>
        <w:bCs/>
        <w:color w:val="000000"/>
        <w:sz w:val="18"/>
        <w:szCs w:val="18"/>
      </w:rPr>
      <w:fldChar w:fldCharType="end"/>
    </w:r>
    <w:r>
      <w:rPr>
        <w:rFonts w:ascii="Azo Sans Lt" w:hAnsi="Azo Sans Lt"/>
        <w:b/>
        <w:bCs/>
        <w:color w:val="000000"/>
        <w:sz w:val="18"/>
        <w:szCs w:val="18"/>
      </w:rPr>
      <w:t xml:space="preserve"> de </w:t>
    </w:r>
    <w:r>
      <w:rPr>
        <w:rFonts w:ascii="Azo Sans Lt" w:hAnsi="Azo Sans Lt"/>
        <w:b/>
        <w:bCs/>
        <w:color w:val="000000"/>
        <w:sz w:val="18"/>
        <w:szCs w:val="18"/>
      </w:rPr>
      <w:fldChar w:fldCharType="begin"/>
    </w:r>
    <w:r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50F8" w14:textId="77777777" w:rsidR="00AF5379" w:rsidRDefault="00AF5379">
      <w:r>
        <w:separator/>
      </w:r>
    </w:p>
  </w:footnote>
  <w:footnote w:type="continuationSeparator" w:id="0">
    <w:p w14:paraId="026AA87C" w14:textId="77777777" w:rsidR="00AF5379" w:rsidRDefault="00AF5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85011560"/>
  <w:bookmarkStart w:id="2" w:name="_Hlk85011561"/>
  <w:p w14:paraId="62082594" w14:textId="02EFB455" w:rsidR="00957BD2" w:rsidRDefault="00957BD2" w:rsidP="009769F6">
    <w:pPr>
      <w:pStyle w:val="Ttulo8"/>
      <w:pBdr>
        <w:bottom w:val="single" w:sz="4" w:space="1" w:color="auto"/>
      </w:pBdr>
      <w:tabs>
        <w:tab w:val="left" w:pos="1488"/>
        <w:tab w:val="left" w:pos="10912"/>
      </w:tabs>
      <w:ind w:left="-142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3371E9" wp14:editId="0F4C5D02">
              <wp:simplePos x="0" y="0"/>
              <wp:positionH relativeFrom="margin">
                <wp:posOffset>4046855</wp:posOffset>
              </wp:positionH>
              <wp:positionV relativeFrom="paragraph">
                <wp:posOffset>331901</wp:posOffset>
              </wp:positionV>
              <wp:extent cx="1932305" cy="561340"/>
              <wp:effectExtent l="0" t="0" r="10795" b="10160"/>
              <wp:wrapNone/>
              <wp:docPr id="8" name="Caixa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2305" cy="5613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 w14:paraId="20CD3D4F" w14:textId="4146D04F" w:rsidR="00343160" w:rsidRDefault="00075772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B66EEA"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8.765/2023</w:t>
                          </w:r>
                        </w:p>
                        <w:p w14:paraId="7CB5CBE6" w14:textId="77777777" w:rsidR="00343160" w:rsidRDefault="00343160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</w:p>
                        <w:p w14:paraId="655C2C57" w14:textId="77777777" w:rsidR="00343160" w:rsidRDefault="00075772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3371E9" id="_x0000_t202" coordsize="21600,21600" o:spt="202" path="m,l,21600r21600,l21600,xe">
              <v:stroke joinstyle="miter"/>
              <v:path gradientshapeok="t" o:connecttype="rect"/>
            </v:shapetype>
            <v:shape id="Caixa de texto 6" o:spid="_x0000_s1026" type="#_x0000_t202" style="position:absolute;left:0;text-align:left;margin-left:318.65pt;margin-top:26.15pt;width:152.15pt;height:44.2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">
              <v:textbox>
                <w:txbxContent>
                  <w:p w14:paraId="20CD3D4F" w14:textId="4146D04F" w:rsidR="00343160" w:rsidRDefault="00075772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 xml:space="preserve">PROCESSO Nº: </w:t>
                    </w:r>
                    <w:r w:rsidR="00B66EEA">
                      <w:rPr>
                        <w:rFonts w:ascii="Azo Sans Lt" w:hAnsi="Azo Sans Lt"/>
                        <w:sz w:val="20"/>
                        <w:szCs w:val="20"/>
                      </w:rPr>
                      <w:t>8.765/2023</w:t>
                    </w:r>
                  </w:p>
                  <w:p w14:paraId="7CB5CBE6" w14:textId="77777777" w:rsidR="00343160" w:rsidRDefault="00343160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</w:p>
                  <w:p w14:paraId="655C2C57" w14:textId="77777777" w:rsidR="00343160" w:rsidRDefault="00075772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RUBRICA:_____FOLHA: 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957BD2">
      <w:rPr>
        <w:rFonts w:eastAsia="SimSun" w:cs="Calibri"/>
        <w:b/>
        <w:i w:val="0"/>
        <w:iCs w:val="0"/>
        <w:noProof/>
        <w:color w:val="000000"/>
        <w:kern w:val="3"/>
        <w:sz w:val="32"/>
        <w:szCs w:val="32"/>
        <w:lang w:eastAsia="zh-CN" w:bidi="hi-IN"/>
      </w:rPr>
      <w:drawing>
        <wp:inline distT="0" distB="0" distL="0" distR="0" wp14:anchorId="6E2A9734" wp14:editId="5998A771">
          <wp:extent cx="4011283" cy="935355"/>
          <wp:effectExtent l="0" t="0" r="0" b="0"/>
          <wp:docPr id="7" name="Imagem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33613" cy="9405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160646EE"/>
    <w:lvl w:ilvl="0">
      <w:start w:val="7"/>
      <w:numFmt w:val="decimal"/>
      <w:lvlText w:val="%1."/>
      <w:lvlJc w:val="left"/>
      <w:pPr>
        <w:tabs>
          <w:tab w:val="num" w:pos="0"/>
        </w:tabs>
        <w:ind w:left="690" w:hanging="690"/>
      </w:pPr>
      <w:rPr>
        <w:rFonts w:hint="default"/>
        <w:w w:val="115"/>
      </w:rPr>
    </w:lvl>
    <w:lvl w:ilvl="1">
      <w:start w:val="1"/>
      <w:numFmt w:val="decimal"/>
      <w:lvlText w:val="%1.%2."/>
      <w:lvlJc w:val="left"/>
      <w:pPr>
        <w:tabs>
          <w:tab w:val="num" w:pos="513"/>
        </w:tabs>
        <w:ind w:left="720" w:hanging="720"/>
      </w:pPr>
      <w:rPr>
        <w:rFonts w:cs="Azo Sans Lt" w:hint="default"/>
        <w:b/>
        <w:bCs w:val="0"/>
        <w:w w:val="115"/>
        <w:sz w:val="22"/>
        <w:szCs w:val="22"/>
      </w:rPr>
    </w:lvl>
    <w:lvl w:ilvl="2">
      <w:start w:val="1"/>
      <w:numFmt w:val="decimal"/>
      <w:lvlText w:val="%1.%2.%3-"/>
      <w:lvlJc w:val="left"/>
      <w:pPr>
        <w:tabs>
          <w:tab w:val="num" w:pos="0"/>
        </w:tabs>
        <w:ind w:left="720" w:hanging="720"/>
      </w:pPr>
      <w:rPr>
        <w:rFonts w:cs="Azo Sans Lt" w:hint="default"/>
        <w:b/>
        <w:w w:val="115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9" w:hanging="1080"/>
      </w:pPr>
      <w:rPr>
        <w:rFonts w:cs="Azo Sans Lt" w:hint="default"/>
        <w:b/>
        <w:w w:val="115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972" w:hanging="1080"/>
      </w:pPr>
      <w:rPr>
        <w:rFonts w:hint="default"/>
        <w:w w:val="115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25" w:hanging="1440"/>
      </w:pPr>
      <w:rPr>
        <w:rFonts w:hint="default"/>
        <w:w w:val="115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38" w:hanging="1440"/>
      </w:pPr>
      <w:rPr>
        <w:rFonts w:hint="default"/>
        <w:w w:val="115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1" w:hanging="1800"/>
      </w:pPr>
      <w:rPr>
        <w:rFonts w:hint="default"/>
        <w:w w:val="115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04" w:hanging="1800"/>
      </w:pPr>
      <w:rPr>
        <w:rFonts w:hint="default"/>
        <w:w w:val="115"/>
      </w:rPr>
    </w:lvl>
  </w:abstractNum>
  <w:abstractNum w:abstractNumId="1" w15:restartNumberingAfterBreak="0">
    <w:nsid w:val="05A3626A"/>
    <w:multiLevelType w:val="multilevel"/>
    <w:tmpl w:val="73480E18"/>
    <w:styleLink w:val="WWNum2"/>
    <w:lvl w:ilvl="0">
      <w:numFmt w:val="bullet"/>
      <w:lvlText w:val="-"/>
      <w:lvlJc w:val="left"/>
      <w:pPr>
        <w:ind w:left="1440" w:hanging="360"/>
      </w:pPr>
      <w:rPr>
        <w:rFonts w:ascii="Arial" w:hAnsi="Arial" w:cs="Aria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 w:cs="Wingdings"/>
      </w:rPr>
    </w:lvl>
  </w:abstractNum>
  <w:abstractNum w:abstractNumId="2" w15:restartNumberingAfterBreak="0">
    <w:nsid w:val="10013C2A"/>
    <w:multiLevelType w:val="multilevel"/>
    <w:tmpl w:val="D2EE6AE4"/>
    <w:lvl w:ilvl="0">
      <w:start w:val="1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CF6543"/>
    <w:multiLevelType w:val="multilevel"/>
    <w:tmpl w:val="0076FAFE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EA6327"/>
    <w:multiLevelType w:val="multilevel"/>
    <w:tmpl w:val="DC5A063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5" w15:restartNumberingAfterBreak="0">
    <w:nsid w:val="187338EE"/>
    <w:multiLevelType w:val="multilevel"/>
    <w:tmpl w:val="6B2007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"/>
      <w:lvlJc w:val="left"/>
      <w:pPr>
        <w:ind w:left="101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664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67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28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8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992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644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296" w:hanging="1080"/>
      </w:pPr>
      <w:rPr>
        <w:rFonts w:hint="default"/>
        <w:sz w:val="22"/>
      </w:rPr>
    </w:lvl>
  </w:abstractNum>
  <w:abstractNum w:abstractNumId="6" w15:restartNumberingAfterBreak="0">
    <w:nsid w:val="1F6801F9"/>
    <w:multiLevelType w:val="multilevel"/>
    <w:tmpl w:val="9A507F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29166334"/>
    <w:multiLevelType w:val="multilevel"/>
    <w:tmpl w:val="1B4EBEA4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BE635F8"/>
    <w:multiLevelType w:val="multilevel"/>
    <w:tmpl w:val="3BE635F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9" w15:restartNumberingAfterBreak="0">
    <w:nsid w:val="3EA878F0"/>
    <w:multiLevelType w:val="multilevel"/>
    <w:tmpl w:val="A63E0B8A"/>
    <w:lvl w:ilvl="0">
      <w:start w:val="12"/>
      <w:numFmt w:val="decimal"/>
      <w:lvlText w:val="%1."/>
      <w:lvlJc w:val="left"/>
      <w:pPr>
        <w:ind w:left="754" w:hanging="394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2D51A81"/>
    <w:multiLevelType w:val="hybridMultilevel"/>
    <w:tmpl w:val="E5F0C41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4F165A"/>
    <w:multiLevelType w:val="hybridMultilevel"/>
    <w:tmpl w:val="7228F654"/>
    <w:lvl w:ilvl="0" w:tplc="0416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90491"/>
    <w:multiLevelType w:val="multilevel"/>
    <w:tmpl w:val="BD02683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666553D"/>
    <w:multiLevelType w:val="multilevel"/>
    <w:tmpl w:val="A87C0C2A"/>
    <w:lvl w:ilvl="0">
      <w:start w:val="11"/>
      <w:numFmt w:val="decimal"/>
      <w:lvlText w:val="%1"/>
      <w:lvlJc w:val="left"/>
      <w:pPr>
        <w:ind w:left="420" w:hanging="420"/>
      </w:pPr>
      <w:rPr>
        <w:rFonts w:cs="Times New Roman"/>
        <w:b w:val="0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ascii="Calibri" w:hAnsi="Calibri" w:cs="Calibri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ascii="Calibri" w:hAnsi="Calibri" w:cs="Calibri"/>
        <w:b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/>
        <w:b w:val="0"/>
      </w:rPr>
    </w:lvl>
  </w:abstractNum>
  <w:abstractNum w:abstractNumId="14" w15:restartNumberingAfterBreak="0">
    <w:nsid w:val="56A138DF"/>
    <w:multiLevelType w:val="multilevel"/>
    <w:tmpl w:val="F4108FE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9FE311D"/>
    <w:multiLevelType w:val="multilevel"/>
    <w:tmpl w:val="B41405A0"/>
    <w:lvl w:ilvl="0">
      <w:start w:val="1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A733464"/>
    <w:multiLevelType w:val="multilevel"/>
    <w:tmpl w:val="2216093C"/>
    <w:lvl w:ilvl="0">
      <w:start w:val="1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0EA2A8B"/>
    <w:multiLevelType w:val="hybridMultilevel"/>
    <w:tmpl w:val="82569F7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3505F1"/>
    <w:multiLevelType w:val="hybridMultilevel"/>
    <w:tmpl w:val="F5707F8E"/>
    <w:lvl w:ilvl="0" w:tplc="135E61A2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DD361E"/>
    <w:multiLevelType w:val="multilevel"/>
    <w:tmpl w:val="61DD36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7185A7D"/>
    <w:multiLevelType w:val="multilevel"/>
    <w:tmpl w:val="61DD36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92A37C3"/>
    <w:multiLevelType w:val="hybridMultilevel"/>
    <w:tmpl w:val="CF64EF2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D354E05"/>
    <w:multiLevelType w:val="multilevel"/>
    <w:tmpl w:val="CEA6383E"/>
    <w:lvl w:ilvl="0">
      <w:start w:val="11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63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0AE0715"/>
    <w:multiLevelType w:val="multilevel"/>
    <w:tmpl w:val="70AE0715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60F5C07"/>
    <w:multiLevelType w:val="multilevel"/>
    <w:tmpl w:val="8344401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bCs/>
        <w:sz w:val="28"/>
      </w:rPr>
    </w:lvl>
    <w:lvl w:ilvl="1">
      <w:start w:val="1"/>
      <w:numFmt w:val="decimal"/>
      <w:suff w:val="space"/>
      <w:lvlText w:val="%1.%2"/>
      <w:lvlJc w:val="left"/>
      <w:rPr>
        <w:rFonts w:ascii="Calibri" w:hAnsi="Calibri" w:cs="Calibri"/>
      </w:r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26" w15:restartNumberingAfterBreak="0">
    <w:nsid w:val="77275DE5"/>
    <w:multiLevelType w:val="multilevel"/>
    <w:tmpl w:val="2966A8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9FF703E"/>
    <w:multiLevelType w:val="multilevel"/>
    <w:tmpl w:val="9E769828"/>
    <w:lvl w:ilvl="0">
      <w:start w:val="1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24"/>
  </w:num>
  <w:num w:numId="4">
    <w:abstractNumId w:val="6"/>
  </w:num>
  <w:num w:numId="5">
    <w:abstractNumId w:val="1"/>
  </w:num>
  <w:num w:numId="6">
    <w:abstractNumId w:val="1"/>
  </w:num>
  <w:num w:numId="7">
    <w:abstractNumId w:val="13"/>
  </w:num>
  <w:num w:numId="8">
    <w:abstractNumId w:val="25"/>
  </w:num>
  <w:num w:numId="9">
    <w:abstractNumId w:val="22"/>
  </w:num>
  <w:num w:numId="10">
    <w:abstractNumId w:val="19"/>
  </w:num>
  <w:num w:numId="11">
    <w:abstractNumId w:val="18"/>
  </w:num>
  <w:num w:numId="12">
    <w:abstractNumId w:val="10"/>
  </w:num>
  <w:num w:numId="13">
    <w:abstractNumId w:val="8"/>
  </w:num>
  <w:num w:numId="14">
    <w:abstractNumId w:val="0"/>
  </w:num>
  <w:num w:numId="15">
    <w:abstractNumId w:val="14"/>
  </w:num>
  <w:num w:numId="16">
    <w:abstractNumId w:val="16"/>
  </w:num>
  <w:num w:numId="17">
    <w:abstractNumId w:val="2"/>
  </w:num>
  <w:num w:numId="18">
    <w:abstractNumId w:val="11"/>
  </w:num>
  <w:num w:numId="19">
    <w:abstractNumId w:val="7"/>
  </w:num>
  <w:num w:numId="20">
    <w:abstractNumId w:val="3"/>
  </w:num>
  <w:num w:numId="21">
    <w:abstractNumId w:val="12"/>
  </w:num>
  <w:num w:numId="22">
    <w:abstractNumId w:val="23"/>
  </w:num>
  <w:num w:numId="23">
    <w:abstractNumId w:val="9"/>
  </w:num>
  <w:num w:numId="24">
    <w:abstractNumId w:val="27"/>
  </w:num>
  <w:num w:numId="25">
    <w:abstractNumId w:val="17"/>
  </w:num>
  <w:num w:numId="26">
    <w:abstractNumId w:val="4"/>
  </w:num>
  <w:num w:numId="27">
    <w:abstractNumId w:val="15"/>
  </w:num>
  <w:num w:numId="28">
    <w:abstractNumId w:val="2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366E"/>
    <w:rsid w:val="00013C9C"/>
    <w:rsid w:val="00023716"/>
    <w:rsid w:val="00027837"/>
    <w:rsid w:val="00052888"/>
    <w:rsid w:val="00060815"/>
    <w:rsid w:val="00064A3F"/>
    <w:rsid w:val="000659B7"/>
    <w:rsid w:val="00072D07"/>
    <w:rsid w:val="00075772"/>
    <w:rsid w:val="000847D8"/>
    <w:rsid w:val="00092735"/>
    <w:rsid w:val="00097D7B"/>
    <w:rsid w:val="000C3EBD"/>
    <w:rsid w:val="000D6176"/>
    <w:rsid w:val="000E6000"/>
    <w:rsid w:val="000E6DAE"/>
    <w:rsid w:val="00100FEB"/>
    <w:rsid w:val="0010179C"/>
    <w:rsid w:val="001079D7"/>
    <w:rsid w:val="00141B17"/>
    <w:rsid w:val="0015157E"/>
    <w:rsid w:val="00162B17"/>
    <w:rsid w:val="00174D8E"/>
    <w:rsid w:val="001B124F"/>
    <w:rsid w:val="001B5037"/>
    <w:rsid w:val="001C2F60"/>
    <w:rsid w:val="001D32DF"/>
    <w:rsid w:val="001D4AC3"/>
    <w:rsid w:val="001D7373"/>
    <w:rsid w:val="001E0C94"/>
    <w:rsid w:val="001E3568"/>
    <w:rsid w:val="001F44F7"/>
    <w:rsid w:val="001F64AF"/>
    <w:rsid w:val="00202023"/>
    <w:rsid w:val="0021660F"/>
    <w:rsid w:val="00216C90"/>
    <w:rsid w:val="00227DC7"/>
    <w:rsid w:val="002663BD"/>
    <w:rsid w:val="00266CB7"/>
    <w:rsid w:val="002A4A60"/>
    <w:rsid w:val="002A7071"/>
    <w:rsid w:val="002B1FD1"/>
    <w:rsid w:val="002B5B40"/>
    <w:rsid w:val="002C40CB"/>
    <w:rsid w:val="002D74BC"/>
    <w:rsid w:val="002F51FA"/>
    <w:rsid w:val="003004F1"/>
    <w:rsid w:val="00315F43"/>
    <w:rsid w:val="00320572"/>
    <w:rsid w:val="00326DB2"/>
    <w:rsid w:val="003370B0"/>
    <w:rsid w:val="00343160"/>
    <w:rsid w:val="00347799"/>
    <w:rsid w:val="00354195"/>
    <w:rsid w:val="003640B1"/>
    <w:rsid w:val="0036531A"/>
    <w:rsid w:val="00367AEF"/>
    <w:rsid w:val="00377353"/>
    <w:rsid w:val="00380F2F"/>
    <w:rsid w:val="00386FD3"/>
    <w:rsid w:val="00390F82"/>
    <w:rsid w:val="00392DE5"/>
    <w:rsid w:val="0039504F"/>
    <w:rsid w:val="00397FCC"/>
    <w:rsid w:val="003A7A11"/>
    <w:rsid w:val="003B4554"/>
    <w:rsid w:val="003B5284"/>
    <w:rsid w:val="003C14A5"/>
    <w:rsid w:val="003C15BE"/>
    <w:rsid w:val="003F2633"/>
    <w:rsid w:val="004028BB"/>
    <w:rsid w:val="00403108"/>
    <w:rsid w:val="004043EC"/>
    <w:rsid w:val="0041063D"/>
    <w:rsid w:val="00413F35"/>
    <w:rsid w:val="00417717"/>
    <w:rsid w:val="00447990"/>
    <w:rsid w:val="00461F93"/>
    <w:rsid w:val="00466BF6"/>
    <w:rsid w:val="0047582C"/>
    <w:rsid w:val="004A09DC"/>
    <w:rsid w:val="004B07E1"/>
    <w:rsid w:val="004E221E"/>
    <w:rsid w:val="00500C6C"/>
    <w:rsid w:val="00512301"/>
    <w:rsid w:val="00516F52"/>
    <w:rsid w:val="00517B3A"/>
    <w:rsid w:val="005258A4"/>
    <w:rsid w:val="00527595"/>
    <w:rsid w:val="005466C3"/>
    <w:rsid w:val="0055488F"/>
    <w:rsid w:val="0055733D"/>
    <w:rsid w:val="005632F4"/>
    <w:rsid w:val="00565669"/>
    <w:rsid w:val="00586EF3"/>
    <w:rsid w:val="005B44B8"/>
    <w:rsid w:val="005C03DB"/>
    <w:rsid w:val="005C402B"/>
    <w:rsid w:val="005D1AD8"/>
    <w:rsid w:val="005D5E40"/>
    <w:rsid w:val="005E173A"/>
    <w:rsid w:val="005F6177"/>
    <w:rsid w:val="00600C09"/>
    <w:rsid w:val="00603431"/>
    <w:rsid w:val="00604FA7"/>
    <w:rsid w:val="00626063"/>
    <w:rsid w:val="00627EF0"/>
    <w:rsid w:val="006306EF"/>
    <w:rsid w:val="00637E49"/>
    <w:rsid w:val="00645026"/>
    <w:rsid w:val="006709DA"/>
    <w:rsid w:val="00682D7A"/>
    <w:rsid w:val="00685FFF"/>
    <w:rsid w:val="006B62AB"/>
    <w:rsid w:val="006D1A90"/>
    <w:rsid w:val="006F22B3"/>
    <w:rsid w:val="006F2CFB"/>
    <w:rsid w:val="00704FCD"/>
    <w:rsid w:val="007168B3"/>
    <w:rsid w:val="00735ADD"/>
    <w:rsid w:val="00741547"/>
    <w:rsid w:val="0075018C"/>
    <w:rsid w:val="00755EED"/>
    <w:rsid w:val="00773158"/>
    <w:rsid w:val="007767C7"/>
    <w:rsid w:val="00785D66"/>
    <w:rsid w:val="0079421E"/>
    <w:rsid w:val="007A4102"/>
    <w:rsid w:val="007A5361"/>
    <w:rsid w:val="007C16C4"/>
    <w:rsid w:val="007D39DB"/>
    <w:rsid w:val="007E0DB2"/>
    <w:rsid w:val="007E3351"/>
    <w:rsid w:val="007F2DDC"/>
    <w:rsid w:val="007F7B13"/>
    <w:rsid w:val="0080119F"/>
    <w:rsid w:val="008343B1"/>
    <w:rsid w:val="008375B8"/>
    <w:rsid w:val="00857EE4"/>
    <w:rsid w:val="008828B6"/>
    <w:rsid w:val="00885008"/>
    <w:rsid w:val="00892CC3"/>
    <w:rsid w:val="008A046D"/>
    <w:rsid w:val="008A72D1"/>
    <w:rsid w:val="008C47CA"/>
    <w:rsid w:val="008C4D64"/>
    <w:rsid w:val="008D78EA"/>
    <w:rsid w:val="008E4F62"/>
    <w:rsid w:val="008E65D4"/>
    <w:rsid w:val="008F21B3"/>
    <w:rsid w:val="008F6CB7"/>
    <w:rsid w:val="009039E8"/>
    <w:rsid w:val="009063BB"/>
    <w:rsid w:val="009213D5"/>
    <w:rsid w:val="009458B8"/>
    <w:rsid w:val="00957BD2"/>
    <w:rsid w:val="00971993"/>
    <w:rsid w:val="00974A4B"/>
    <w:rsid w:val="00975829"/>
    <w:rsid w:val="009769F6"/>
    <w:rsid w:val="009807DD"/>
    <w:rsid w:val="009E182D"/>
    <w:rsid w:val="009E71C5"/>
    <w:rsid w:val="009F2F85"/>
    <w:rsid w:val="00A26B5D"/>
    <w:rsid w:val="00A327A0"/>
    <w:rsid w:val="00A36716"/>
    <w:rsid w:val="00A66364"/>
    <w:rsid w:val="00A84E21"/>
    <w:rsid w:val="00A96E16"/>
    <w:rsid w:val="00AE4185"/>
    <w:rsid w:val="00AE7153"/>
    <w:rsid w:val="00AF3DF3"/>
    <w:rsid w:val="00AF5379"/>
    <w:rsid w:val="00AF5DD4"/>
    <w:rsid w:val="00AF6B88"/>
    <w:rsid w:val="00B12062"/>
    <w:rsid w:val="00B47146"/>
    <w:rsid w:val="00B5050A"/>
    <w:rsid w:val="00B52199"/>
    <w:rsid w:val="00B66EEA"/>
    <w:rsid w:val="00B676BB"/>
    <w:rsid w:val="00B703E0"/>
    <w:rsid w:val="00B70553"/>
    <w:rsid w:val="00B923BE"/>
    <w:rsid w:val="00BA2AC6"/>
    <w:rsid w:val="00BA68EF"/>
    <w:rsid w:val="00BB0871"/>
    <w:rsid w:val="00BB527C"/>
    <w:rsid w:val="00BD3BC4"/>
    <w:rsid w:val="00BD74C3"/>
    <w:rsid w:val="00C12366"/>
    <w:rsid w:val="00C37E7D"/>
    <w:rsid w:val="00C52E4E"/>
    <w:rsid w:val="00C55896"/>
    <w:rsid w:val="00C74C9C"/>
    <w:rsid w:val="00C81712"/>
    <w:rsid w:val="00C81B18"/>
    <w:rsid w:val="00C91A0C"/>
    <w:rsid w:val="00C95CBC"/>
    <w:rsid w:val="00CA5F9F"/>
    <w:rsid w:val="00CB6083"/>
    <w:rsid w:val="00CC288A"/>
    <w:rsid w:val="00CC47E7"/>
    <w:rsid w:val="00CC527A"/>
    <w:rsid w:val="00CC68F2"/>
    <w:rsid w:val="00CE136A"/>
    <w:rsid w:val="00CE17E3"/>
    <w:rsid w:val="00CE1CB6"/>
    <w:rsid w:val="00D02B9A"/>
    <w:rsid w:val="00D03D73"/>
    <w:rsid w:val="00D0716D"/>
    <w:rsid w:val="00D22F45"/>
    <w:rsid w:val="00D249B9"/>
    <w:rsid w:val="00D24CF0"/>
    <w:rsid w:val="00D273B8"/>
    <w:rsid w:val="00D2776D"/>
    <w:rsid w:val="00D41AB7"/>
    <w:rsid w:val="00D538EF"/>
    <w:rsid w:val="00D63E91"/>
    <w:rsid w:val="00D65EAF"/>
    <w:rsid w:val="00D7299B"/>
    <w:rsid w:val="00D73E45"/>
    <w:rsid w:val="00D843B7"/>
    <w:rsid w:val="00D9192B"/>
    <w:rsid w:val="00DD31BF"/>
    <w:rsid w:val="00DD641A"/>
    <w:rsid w:val="00DF2A9B"/>
    <w:rsid w:val="00E00AAE"/>
    <w:rsid w:val="00E01C4C"/>
    <w:rsid w:val="00E03225"/>
    <w:rsid w:val="00E11AE1"/>
    <w:rsid w:val="00E12775"/>
    <w:rsid w:val="00E151D6"/>
    <w:rsid w:val="00E20990"/>
    <w:rsid w:val="00E40A97"/>
    <w:rsid w:val="00E430AF"/>
    <w:rsid w:val="00E4547A"/>
    <w:rsid w:val="00E73173"/>
    <w:rsid w:val="00E77501"/>
    <w:rsid w:val="00EB136C"/>
    <w:rsid w:val="00EB2D5D"/>
    <w:rsid w:val="00EE46E6"/>
    <w:rsid w:val="00F0047E"/>
    <w:rsid w:val="00F40051"/>
    <w:rsid w:val="00F401B0"/>
    <w:rsid w:val="00F45FFC"/>
    <w:rsid w:val="00F46248"/>
    <w:rsid w:val="00F604E2"/>
    <w:rsid w:val="00FE64C9"/>
    <w:rsid w:val="00FE6985"/>
    <w:rsid w:val="11CC2ACE"/>
    <w:rsid w:val="13A3182B"/>
    <w:rsid w:val="1AF72D93"/>
    <w:rsid w:val="1F8C2B9F"/>
    <w:rsid w:val="1FD12E07"/>
    <w:rsid w:val="3C4D19A5"/>
    <w:rsid w:val="3C9967A2"/>
    <w:rsid w:val="3D361311"/>
    <w:rsid w:val="501F24D5"/>
    <w:rsid w:val="5C237373"/>
    <w:rsid w:val="623C6820"/>
    <w:rsid w:val="68532C20"/>
    <w:rsid w:val="72E95C75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020CA"/>
  <w15:docId w15:val="{9BB64FC0-A6ED-4E70-890E-3073C4CB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NormalWeb">
    <w:name w:val="Normal (Web)"/>
    <w:basedOn w:val="Normal"/>
    <w:uiPriority w:val="99"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abealho">
    <w:name w:val="header"/>
    <w:basedOn w:val="Normal"/>
    <w:link w:val="CabealhoChar"/>
    <w:unhideWhenUsed/>
    <w:qFormat/>
    <w:pPr>
      <w:tabs>
        <w:tab w:val="center" w:pos="4252"/>
        <w:tab w:val="right" w:pos="8504"/>
      </w:tabs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Ttulo8Char">
    <w:name w:val="Título 8 Char"/>
    <w:basedOn w:val="Fontepargpadro"/>
    <w:link w:val="Ttulo8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qFormat/>
    <w:rPr>
      <w:rFonts w:ascii="Calibri" w:eastAsia="Times New Roman" w:hAnsi="Calibri" w:cs="Times New Roman"/>
      <w:sz w:val="22"/>
      <w:szCs w:val="22"/>
    </w:rPr>
  </w:style>
  <w:style w:type="paragraph" w:styleId="Citao">
    <w:name w:val="Quote"/>
    <w:basedOn w:val="Normal"/>
    <w:next w:val="Normal"/>
    <w:link w:val="CitaoChar"/>
    <w:uiPriority w:val="29"/>
    <w:qFormat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qFormat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</w:style>
  <w:style w:type="character" w:customStyle="1" w:styleId="citao2Char">
    <w:name w:val="citação 2 Char"/>
    <w:basedOn w:val="CitaoChar"/>
    <w:link w:val="citao2"/>
    <w:qFormat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zh-CN"/>
    </w:rPr>
  </w:style>
  <w:style w:type="character" w:customStyle="1" w:styleId="GradeColorida-nfase1Char">
    <w:name w:val="Grade Colorida - Ênfase 1 Char"/>
    <w:link w:val="GradeColorida-nfase11"/>
    <w:uiPriority w:val="29"/>
    <w:qFormat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zh-CN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qFormat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qFormat/>
    <w:rPr>
      <w:rFonts w:ascii="Ecofont_Spranq_eco_Sans" w:eastAsiaTheme="majorEastAsia" w:hAnsi="Ecofont_Spranq_eco_Sans" w:cs="Times New Roman"/>
      <w:b/>
      <w:bCs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qFormat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qFormat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qFormat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qFormat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atabela">
    <w:name w:val="Conteúdo da tabela"/>
    <w:basedOn w:val="Normal"/>
    <w:qFormat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 w:cs="Tahoma"/>
      <w:sz w:val="24"/>
      <w:szCs w:val="24"/>
      <w:lang w:val="pt-BR" w:eastAsia="zh-CN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Verdana" w:eastAsia="Verdana" w:hAnsi="Verdana" w:cs="Verdana"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Verdana" w:eastAsia="Verdana" w:hAnsi="Verdana" w:cs="Verdana"/>
      <w:b/>
      <w:bCs/>
      <w:lang w:val="pt-PT" w:eastAsia="en-US"/>
    </w:rPr>
  </w:style>
  <w:style w:type="paragraph" w:customStyle="1" w:styleId="TableContents">
    <w:name w:val="Table Contents"/>
    <w:basedOn w:val="Standard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numbering" w:customStyle="1" w:styleId="WWNum2">
    <w:name w:val="WWNum2"/>
    <w:basedOn w:val="Semlista"/>
    <w:rsid w:val="004043EC"/>
    <w:pPr>
      <w:numPr>
        <w:numId w:val="5"/>
      </w:numPr>
    </w:pPr>
  </w:style>
  <w:style w:type="numbering" w:customStyle="1" w:styleId="WWNum1">
    <w:name w:val="WWNum1"/>
    <w:basedOn w:val="Semlista"/>
    <w:rsid w:val="00141B17"/>
    <w:pPr>
      <w:numPr>
        <w:numId w:val="8"/>
      </w:numPr>
    </w:pPr>
  </w:style>
  <w:style w:type="table" w:styleId="Tabelacomgrade">
    <w:name w:val="Table Grid"/>
    <w:basedOn w:val="Tabelanormal"/>
    <w:qFormat/>
    <w:rsid w:val="00027837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1">
    <w:name w:val="Nivel1"/>
    <w:basedOn w:val="Ttulo1"/>
    <w:next w:val="Normal"/>
    <w:link w:val="Nivel1Char"/>
    <w:qFormat/>
    <w:rsid w:val="00AE4185"/>
    <w:pPr>
      <w:keepNext/>
      <w:keepLines/>
      <w:widowControl/>
      <w:autoSpaceDE/>
      <w:autoSpaceDN/>
      <w:spacing w:before="480" w:after="120" w:line="276" w:lineRule="auto"/>
      <w:ind w:left="0"/>
      <w:jc w:val="both"/>
    </w:pPr>
    <w:rPr>
      <w:rFonts w:eastAsiaTheme="majorEastAsia" w:cs="Times New Roman"/>
      <w:b/>
      <w:lang w:val="pt-BR" w:eastAsia="pt-BR"/>
    </w:rPr>
  </w:style>
  <w:style w:type="character" w:customStyle="1" w:styleId="Nivel1Char">
    <w:name w:val="Nivel1 Char"/>
    <w:basedOn w:val="Fontepargpadro"/>
    <w:link w:val="Nivel1"/>
    <w:rsid w:val="00E430AF"/>
    <w:rPr>
      <w:rFonts w:ascii="Arial" w:eastAsiaTheme="majorEastAsia" w:hAnsi="Arial" w:cs="Times New Roman"/>
      <w:b/>
    </w:rPr>
  </w:style>
  <w:style w:type="character" w:styleId="MenoPendente">
    <w:name w:val="Unresolved Mention"/>
    <w:basedOn w:val="Fontepargpadro"/>
    <w:uiPriority w:val="99"/>
    <w:semiHidden/>
    <w:unhideWhenUsed/>
    <w:rsid w:val="007E0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12</Pages>
  <Words>3924</Words>
  <Characters>21190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Mayco Sartório</dc:creator>
  <cp:lastModifiedBy>Win10</cp:lastModifiedBy>
  <cp:revision>105</cp:revision>
  <cp:lastPrinted>2023-09-25T18:19:00Z</cp:lastPrinted>
  <dcterms:created xsi:type="dcterms:W3CDTF">2021-07-06T19:42:00Z</dcterms:created>
  <dcterms:modified xsi:type="dcterms:W3CDTF">2023-09-25T18:19:00Z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1046-11.2.0.10351</vt:lpwstr>
  </property>
  <property fmtid="{D5CDD505-2E9C-101B-9397-08002B2CF9AE}" pid="6" name="ICV">
    <vt:lpwstr>CE21E019167F409291D989241FBEA400</vt:lpwstr>
  </property>
</Properties>
</file>